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E7AA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FE7AAA" w:rsidRDefault="000A03B2" w:rsidP="00B3723D">
            <w:pPr>
              <w:tabs>
                <w:tab w:val="left" w:pos="-108"/>
              </w:tabs>
              <w:ind w:left="-108"/>
              <w:rPr>
                <w:rFonts w:cs="Arial"/>
                <w:b/>
                <w:bCs/>
                <w:i/>
                <w:iCs/>
                <w:color w:val="000066"/>
                <w:sz w:val="12"/>
                <w:szCs w:val="12"/>
                <w:lang w:eastAsia="it-IT"/>
              </w:rPr>
            </w:pPr>
            <w:bookmarkStart w:id="0" w:name="_Hlk145068772"/>
            <w:r w:rsidRPr="00FE7AAA">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E7AAA">
              <w:rPr>
                <w:rFonts w:ascii="AdvP6960" w:hAnsi="AdvP6960" w:cs="AdvP6960"/>
                <w:color w:val="241F20"/>
                <w:szCs w:val="18"/>
                <w:lang w:eastAsia="it-IT"/>
              </w:rPr>
              <w:t xml:space="preserve"> </w:t>
            </w:r>
            <w:r w:rsidRPr="00FE7AAA">
              <w:rPr>
                <w:rFonts w:cs="Arial"/>
                <w:b/>
                <w:bCs/>
                <w:i/>
                <w:iCs/>
                <w:color w:val="000066"/>
                <w:sz w:val="24"/>
                <w:szCs w:val="24"/>
                <w:lang w:eastAsia="it-IT"/>
              </w:rPr>
              <w:t>CHEMICAL ENGINEERING</w:t>
            </w:r>
            <w:r w:rsidRPr="00FE7AAA">
              <w:rPr>
                <w:rFonts w:cs="Arial"/>
                <w:b/>
                <w:bCs/>
                <w:i/>
                <w:iCs/>
                <w:color w:val="0033FF"/>
                <w:sz w:val="24"/>
                <w:szCs w:val="24"/>
                <w:lang w:eastAsia="it-IT"/>
              </w:rPr>
              <w:t xml:space="preserve"> </w:t>
            </w:r>
            <w:r w:rsidRPr="00FE7AAA">
              <w:rPr>
                <w:rFonts w:cs="Arial"/>
                <w:b/>
                <w:bCs/>
                <w:i/>
                <w:iCs/>
                <w:color w:val="666666"/>
                <w:sz w:val="24"/>
                <w:szCs w:val="24"/>
                <w:lang w:eastAsia="it-IT"/>
              </w:rPr>
              <w:t>TRANSACTIONS</w:t>
            </w:r>
            <w:r w:rsidRPr="00FE7AAA">
              <w:rPr>
                <w:color w:val="333333"/>
                <w:sz w:val="24"/>
                <w:szCs w:val="24"/>
                <w:lang w:eastAsia="it-IT"/>
              </w:rPr>
              <w:t xml:space="preserve"> </w:t>
            </w:r>
            <w:r w:rsidRPr="00FE7AAA">
              <w:rPr>
                <w:rFonts w:cs="Arial"/>
                <w:b/>
                <w:bCs/>
                <w:i/>
                <w:iCs/>
                <w:color w:val="000066"/>
                <w:sz w:val="27"/>
                <w:szCs w:val="27"/>
                <w:lang w:eastAsia="it-IT"/>
              </w:rPr>
              <w:br/>
            </w:r>
          </w:p>
          <w:p w14:paraId="4B780582" w14:textId="47EF826C" w:rsidR="000A03B2" w:rsidRPr="00FE7AAA" w:rsidRDefault="00A76EFC" w:rsidP="00B3723D">
            <w:pPr>
              <w:tabs>
                <w:tab w:val="left" w:pos="-108"/>
              </w:tabs>
              <w:ind w:left="-108"/>
              <w:rPr>
                <w:rFonts w:cs="Arial"/>
                <w:b/>
                <w:bCs/>
                <w:i/>
                <w:iCs/>
                <w:color w:val="000066"/>
                <w:sz w:val="22"/>
                <w:szCs w:val="22"/>
                <w:lang w:eastAsia="it-IT"/>
              </w:rPr>
            </w:pPr>
            <w:r w:rsidRPr="00FE7AAA">
              <w:rPr>
                <w:rFonts w:cs="Arial"/>
                <w:b/>
                <w:bCs/>
                <w:i/>
                <w:iCs/>
                <w:color w:val="000066"/>
                <w:sz w:val="22"/>
                <w:szCs w:val="22"/>
                <w:lang w:eastAsia="it-IT"/>
              </w:rPr>
              <w:t>VOL.</w:t>
            </w:r>
            <w:r w:rsidR="00785BF9" w:rsidRPr="00FE7AAA">
              <w:rPr>
                <w:rFonts w:cs="Arial"/>
                <w:b/>
                <w:bCs/>
                <w:i/>
                <w:iCs/>
                <w:color w:val="000066"/>
                <w:sz w:val="22"/>
                <w:szCs w:val="22"/>
                <w:lang w:eastAsia="it-IT"/>
              </w:rPr>
              <w:t xml:space="preserve"> </w:t>
            </w:r>
            <w:r w:rsidR="00994C6A" w:rsidRPr="00FE7AAA">
              <w:rPr>
                <w:rFonts w:cs="Arial"/>
                <w:b/>
                <w:bCs/>
                <w:i/>
                <w:iCs/>
                <w:color w:val="000066"/>
                <w:sz w:val="22"/>
                <w:szCs w:val="22"/>
                <w:lang w:eastAsia="it-IT"/>
              </w:rPr>
              <w:t>xxx</w:t>
            </w:r>
            <w:r w:rsidR="007B48F9" w:rsidRPr="00FE7AAA">
              <w:rPr>
                <w:rFonts w:cs="Arial"/>
                <w:b/>
                <w:bCs/>
                <w:i/>
                <w:iCs/>
                <w:color w:val="000066"/>
                <w:sz w:val="22"/>
                <w:szCs w:val="22"/>
                <w:lang w:eastAsia="it-IT"/>
              </w:rPr>
              <w:t>,</w:t>
            </w:r>
            <w:r w:rsidR="00FA5F5F" w:rsidRPr="00FE7AAA">
              <w:rPr>
                <w:rFonts w:cs="Arial"/>
                <w:b/>
                <w:bCs/>
                <w:i/>
                <w:iCs/>
                <w:color w:val="000066"/>
                <w:sz w:val="22"/>
                <w:szCs w:val="22"/>
                <w:lang w:eastAsia="it-IT"/>
              </w:rPr>
              <w:t xml:space="preserve"> </w:t>
            </w:r>
            <w:r w:rsidR="0030152C" w:rsidRPr="00FE7AAA">
              <w:rPr>
                <w:rFonts w:cs="Arial"/>
                <w:b/>
                <w:bCs/>
                <w:i/>
                <w:iCs/>
                <w:color w:val="000066"/>
                <w:sz w:val="22"/>
                <w:szCs w:val="22"/>
                <w:lang w:eastAsia="it-IT"/>
              </w:rPr>
              <w:t>202</w:t>
            </w:r>
            <w:r w:rsidR="00994C6A" w:rsidRPr="00FE7AA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FE7AAA" w:rsidRDefault="000A03B2" w:rsidP="00B3723D">
            <w:pPr>
              <w:spacing w:line="140" w:lineRule="atLeast"/>
              <w:rPr>
                <w:rFonts w:cs="Arial"/>
                <w:sz w:val="14"/>
                <w:szCs w:val="14"/>
              </w:rPr>
            </w:pPr>
            <w:r w:rsidRPr="00FE7AAA">
              <w:rPr>
                <w:rFonts w:cs="Arial"/>
                <w:sz w:val="14"/>
                <w:szCs w:val="14"/>
              </w:rPr>
              <w:t>A publication of</w:t>
            </w:r>
          </w:p>
          <w:p w14:paraId="599E5441" w14:textId="77777777" w:rsidR="000A03B2" w:rsidRPr="00FE7AAA" w:rsidRDefault="000A03B2" w:rsidP="00B3723D">
            <w:r w:rsidRPr="00FE7AAA">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E7AAA" w14:paraId="380FA3CD" w14:textId="77777777" w:rsidTr="00DE264A">
        <w:trPr>
          <w:trHeight w:val="567"/>
          <w:jc w:val="center"/>
        </w:trPr>
        <w:tc>
          <w:tcPr>
            <w:tcW w:w="6946" w:type="dxa"/>
            <w:vMerge/>
            <w:tcBorders>
              <w:right w:val="single" w:sz="4" w:space="0" w:color="auto"/>
            </w:tcBorders>
          </w:tcPr>
          <w:p w14:paraId="39E5E4C1" w14:textId="77777777" w:rsidR="000A03B2" w:rsidRPr="00FE7AAA" w:rsidRDefault="000A03B2" w:rsidP="00B3723D">
            <w:pPr>
              <w:tabs>
                <w:tab w:val="left" w:pos="-108"/>
              </w:tabs>
            </w:pPr>
          </w:p>
        </w:tc>
        <w:tc>
          <w:tcPr>
            <w:tcW w:w="1843" w:type="dxa"/>
            <w:tcBorders>
              <w:left w:val="single" w:sz="4" w:space="0" w:color="auto"/>
              <w:bottom w:val="nil"/>
              <w:right w:val="single" w:sz="4" w:space="0" w:color="auto"/>
            </w:tcBorders>
          </w:tcPr>
          <w:p w14:paraId="43858A98" w14:textId="77777777" w:rsidR="000A03B2" w:rsidRPr="00FE7AAA" w:rsidRDefault="000A03B2" w:rsidP="00B3723D">
            <w:pPr>
              <w:spacing w:line="140" w:lineRule="atLeast"/>
              <w:rPr>
                <w:rFonts w:cs="Arial"/>
                <w:sz w:val="14"/>
                <w:szCs w:val="14"/>
              </w:rPr>
            </w:pPr>
            <w:r w:rsidRPr="00FE7AAA">
              <w:rPr>
                <w:rFonts w:cs="Arial"/>
                <w:sz w:val="14"/>
                <w:szCs w:val="14"/>
              </w:rPr>
              <w:t>The Italian Association</w:t>
            </w:r>
          </w:p>
          <w:p w14:paraId="7522B1D2" w14:textId="77777777" w:rsidR="000A03B2" w:rsidRPr="00FE7AAA" w:rsidRDefault="000A03B2" w:rsidP="00B3723D">
            <w:pPr>
              <w:spacing w:line="140" w:lineRule="atLeast"/>
              <w:rPr>
                <w:rFonts w:cs="Arial"/>
                <w:sz w:val="14"/>
                <w:szCs w:val="14"/>
              </w:rPr>
            </w:pPr>
            <w:r w:rsidRPr="00FE7AAA">
              <w:rPr>
                <w:rFonts w:cs="Arial"/>
                <w:sz w:val="14"/>
                <w:szCs w:val="14"/>
              </w:rPr>
              <w:t>of Chemical Engineering</w:t>
            </w:r>
          </w:p>
          <w:p w14:paraId="4F0CC5DE" w14:textId="47FDB2FC" w:rsidR="000A03B2" w:rsidRPr="00FE7AAA" w:rsidRDefault="000D0268" w:rsidP="00B3723D">
            <w:pPr>
              <w:spacing w:line="140" w:lineRule="atLeast"/>
              <w:rPr>
                <w:rFonts w:cs="Arial"/>
                <w:sz w:val="13"/>
                <w:szCs w:val="13"/>
              </w:rPr>
            </w:pPr>
            <w:r w:rsidRPr="00FE7AAA">
              <w:rPr>
                <w:rFonts w:cs="Arial"/>
                <w:sz w:val="13"/>
                <w:szCs w:val="13"/>
              </w:rPr>
              <w:t>Online at www.cetjournal.it</w:t>
            </w:r>
          </w:p>
        </w:tc>
      </w:tr>
      <w:tr w:rsidR="000A03B2" w:rsidRPr="00FE7AAA" w14:paraId="2D1B7169" w14:textId="77777777" w:rsidTr="00DE264A">
        <w:trPr>
          <w:trHeight w:val="68"/>
          <w:jc w:val="center"/>
        </w:trPr>
        <w:tc>
          <w:tcPr>
            <w:tcW w:w="8789" w:type="dxa"/>
            <w:gridSpan w:val="2"/>
          </w:tcPr>
          <w:p w14:paraId="30F07041" w14:textId="6F168A0E" w:rsidR="00F27EE4" w:rsidRPr="00FE7AAA" w:rsidRDefault="00AA7D26" w:rsidP="00B3723D">
            <w:pPr>
              <w:ind w:left="-107"/>
              <w:rPr>
                <w:rFonts w:ascii="Tahoma" w:hAnsi="Tahoma" w:cs="Tahoma"/>
                <w:b/>
                <w:bCs/>
                <w:color w:val="000000"/>
                <w:sz w:val="14"/>
                <w:szCs w:val="14"/>
                <w:shd w:val="clear" w:color="auto" w:fill="FFFFFF"/>
              </w:rPr>
            </w:pPr>
            <w:r w:rsidRPr="00FE7AAA">
              <w:rPr>
                <w:rFonts w:ascii="Tahoma" w:hAnsi="Tahoma" w:cs="Tahoma"/>
                <w:iCs/>
                <w:color w:val="333333"/>
                <w:sz w:val="14"/>
                <w:szCs w:val="14"/>
                <w:lang w:eastAsia="it-IT"/>
              </w:rPr>
              <w:t>Guest Editors:</w:t>
            </w:r>
            <w:r w:rsidR="007D610D" w:rsidRPr="00FE7AAA">
              <w:rPr>
                <w:rFonts w:ascii="Aptos" w:eastAsiaTheme="minorHAnsi" w:hAnsi="Aptos" w:cs="Aptos"/>
                <w:sz w:val="22"/>
                <w:szCs w:val="22"/>
                <w14:ligatures w14:val="standardContextual"/>
              </w:rPr>
              <w:t xml:space="preserve"> </w:t>
            </w:r>
            <w:r w:rsidR="00F27EE4" w:rsidRPr="00FE7AAA">
              <w:rPr>
                <w:rFonts w:ascii="Tahoma" w:hAnsi="Tahoma" w:cs="Tahoma"/>
                <w:color w:val="000000"/>
                <w:sz w:val="14"/>
                <w:szCs w:val="14"/>
                <w:shd w:val="clear" w:color="auto" w:fill="FFFFFF"/>
              </w:rPr>
              <w:t xml:space="preserve">Bruno Fabiano, Valerio </w:t>
            </w:r>
            <w:proofErr w:type="spellStart"/>
            <w:r w:rsidR="00F27EE4" w:rsidRPr="00FE7AAA">
              <w:rPr>
                <w:rFonts w:ascii="Tahoma" w:hAnsi="Tahoma" w:cs="Tahoma"/>
                <w:color w:val="000000"/>
                <w:sz w:val="14"/>
                <w:szCs w:val="14"/>
                <w:shd w:val="clear" w:color="auto" w:fill="FFFFFF"/>
              </w:rPr>
              <w:t>Cozzani</w:t>
            </w:r>
            <w:proofErr w:type="spellEnd"/>
            <w:r w:rsidR="00F27EE4" w:rsidRPr="00FE7AAA">
              <w:rPr>
                <w:rFonts w:ascii="Tahoma" w:hAnsi="Tahoma" w:cs="Tahoma"/>
                <w:color w:val="000000"/>
                <w:sz w:val="14"/>
                <w:szCs w:val="14"/>
                <w:shd w:val="clear" w:color="auto" w:fill="FFFFFF"/>
              </w:rPr>
              <w:t>, Ales Bernatik</w:t>
            </w:r>
          </w:p>
          <w:p w14:paraId="1B0F1814" w14:textId="2DB8A072" w:rsidR="000A03B2" w:rsidRPr="00FE7AAA" w:rsidRDefault="00AA7D26" w:rsidP="00B3723D">
            <w:pPr>
              <w:tabs>
                <w:tab w:val="left" w:pos="-108"/>
              </w:tabs>
              <w:spacing w:line="140" w:lineRule="atLeast"/>
              <w:ind w:left="-107"/>
            </w:pPr>
            <w:r w:rsidRPr="00FE7AAA">
              <w:rPr>
                <w:rFonts w:ascii="Tahoma" w:hAnsi="Tahoma" w:cs="Tahoma"/>
                <w:iCs/>
                <w:color w:val="333333"/>
                <w:sz w:val="14"/>
                <w:szCs w:val="14"/>
                <w:lang w:eastAsia="it-IT"/>
              </w:rPr>
              <w:t>Copyright © 202</w:t>
            </w:r>
            <w:r w:rsidR="00994C6A" w:rsidRPr="00FE7AAA">
              <w:rPr>
                <w:rFonts w:ascii="Tahoma" w:hAnsi="Tahoma" w:cs="Tahoma"/>
                <w:iCs/>
                <w:color w:val="333333"/>
                <w:sz w:val="14"/>
                <w:szCs w:val="14"/>
                <w:lang w:eastAsia="it-IT"/>
              </w:rPr>
              <w:t>5</w:t>
            </w:r>
            <w:r w:rsidRPr="00FE7AAA">
              <w:rPr>
                <w:rFonts w:ascii="Tahoma" w:hAnsi="Tahoma" w:cs="Tahoma"/>
                <w:iCs/>
                <w:color w:val="333333"/>
                <w:sz w:val="14"/>
                <w:szCs w:val="14"/>
                <w:lang w:eastAsia="it-IT"/>
              </w:rPr>
              <w:t xml:space="preserve">, AIDIC </w:t>
            </w:r>
            <w:proofErr w:type="spellStart"/>
            <w:r w:rsidRPr="00FE7AAA">
              <w:rPr>
                <w:rFonts w:ascii="Tahoma" w:hAnsi="Tahoma" w:cs="Tahoma"/>
                <w:iCs/>
                <w:color w:val="333333"/>
                <w:sz w:val="14"/>
                <w:szCs w:val="14"/>
                <w:lang w:eastAsia="it-IT"/>
              </w:rPr>
              <w:t>Servizi</w:t>
            </w:r>
            <w:proofErr w:type="spellEnd"/>
            <w:r w:rsidRPr="00FE7AAA">
              <w:rPr>
                <w:rFonts w:ascii="Tahoma" w:hAnsi="Tahoma" w:cs="Tahoma"/>
                <w:iCs/>
                <w:color w:val="333333"/>
                <w:sz w:val="14"/>
                <w:szCs w:val="14"/>
                <w:lang w:eastAsia="it-IT"/>
              </w:rPr>
              <w:t xml:space="preserve"> S.r.l.</w:t>
            </w:r>
            <w:r w:rsidRPr="00FE7AAA">
              <w:rPr>
                <w:rFonts w:ascii="Tahoma" w:hAnsi="Tahoma" w:cs="Tahoma"/>
                <w:iCs/>
                <w:color w:val="333333"/>
                <w:sz w:val="14"/>
                <w:szCs w:val="14"/>
                <w:lang w:eastAsia="it-IT"/>
              </w:rPr>
              <w:br/>
            </w:r>
            <w:r w:rsidRPr="00FE7AAA">
              <w:rPr>
                <w:rFonts w:ascii="Tahoma" w:hAnsi="Tahoma" w:cs="Tahoma"/>
                <w:b/>
                <w:iCs/>
                <w:color w:val="000000"/>
                <w:sz w:val="14"/>
                <w:szCs w:val="14"/>
                <w:lang w:eastAsia="it-IT"/>
              </w:rPr>
              <w:t>ISBN</w:t>
            </w:r>
            <w:r w:rsidRPr="00FE7AAA">
              <w:rPr>
                <w:rFonts w:ascii="Tahoma" w:hAnsi="Tahoma" w:cs="Tahoma"/>
                <w:iCs/>
                <w:color w:val="000000"/>
                <w:sz w:val="14"/>
                <w:szCs w:val="14"/>
                <w:lang w:eastAsia="it-IT"/>
              </w:rPr>
              <w:t xml:space="preserve"> </w:t>
            </w:r>
            <w:r w:rsidR="003B49CD" w:rsidRPr="00FE7AAA">
              <w:rPr>
                <w:rFonts w:ascii="Tahoma" w:hAnsi="Tahoma" w:cs="Tahoma"/>
                <w:sz w:val="14"/>
                <w:szCs w:val="14"/>
              </w:rPr>
              <w:t>979-12-81206-</w:t>
            </w:r>
            <w:r w:rsidR="00F27EE4" w:rsidRPr="00FE7AAA">
              <w:rPr>
                <w:rFonts w:ascii="Tahoma" w:hAnsi="Tahoma" w:cs="Tahoma"/>
                <w:sz w:val="14"/>
                <w:szCs w:val="14"/>
              </w:rPr>
              <w:t>xx-y</w:t>
            </w:r>
            <w:r w:rsidRPr="00FE7AAA">
              <w:rPr>
                <w:rFonts w:ascii="Tahoma" w:hAnsi="Tahoma" w:cs="Tahoma"/>
                <w:iCs/>
                <w:color w:val="333333"/>
                <w:sz w:val="14"/>
                <w:szCs w:val="14"/>
                <w:lang w:eastAsia="it-IT"/>
              </w:rPr>
              <w:t xml:space="preserve">; </w:t>
            </w:r>
            <w:r w:rsidRPr="00FE7AAA">
              <w:rPr>
                <w:rFonts w:ascii="Tahoma" w:hAnsi="Tahoma" w:cs="Tahoma"/>
                <w:b/>
                <w:iCs/>
                <w:color w:val="333333"/>
                <w:sz w:val="14"/>
                <w:szCs w:val="14"/>
                <w:lang w:eastAsia="it-IT"/>
              </w:rPr>
              <w:t>ISSN</w:t>
            </w:r>
            <w:r w:rsidRPr="00FE7AAA">
              <w:rPr>
                <w:rFonts w:ascii="Tahoma" w:hAnsi="Tahoma" w:cs="Tahoma"/>
                <w:iCs/>
                <w:color w:val="333333"/>
                <w:sz w:val="14"/>
                <w:szCs w:val="14"/>
                <w:lang w:eastAsia="it-IT"/>
              </w:rPr>
              <w:t xml:space="preserve"> 2283-9216</w:t>
            </w:r>
          </w:p>
        </w:tc>
      </w:tr>
    </w:tbl>
    <w:bookmarkEnd w:id="0"/>
    <w:p w14:paraId="2E667253" w14:textId="28DEFA86" w:rsidR="00E978D0" w:rsidRPr="00FE7AAA" w:rsidRDefault="002602D7" w:rsidP="00B3723D">
      <w:pPr>
        <w:pStyle w:val="CETTitle"/>
        <w:jc w:val="both"/>
      </w:pPr>
      <w:r w:rsidRPr="00FE7AAA">
        <w:t>Climate Resilience Assessment Methodology</w:t>
      </w:r>
    </w:p>
    <w:p w14:paraId="0488FED2" w14:textId="75CAB2D7" w:rsidR="00B57E6F" w:rsidRPr="00FE7AAA" w:rsidRDefault="0047232E" w:rsidP="00B3723D">
      <w:pPr>
        <w:pStyle w:val="CETAuthors"/>
        <w:rPr>
          <w:noProof w:val="0"/>
        </w:rPr>
      </w:pPr>
      <w:r w:rsidRPr="00FE7AAA">
        <w:rPr>
          <w:noProof w:val="0"/>
        </w:rPr>
        <w:t>Alexis Pey</w:t>
      </w:r>
      <w:r w:rsidR="00B57E6F" w:rsidRPr="00FE7AAA">
        <w:rPr>
          <w:noProof w:val="0"/>
        </w:rPr>
        <w:t xml:space="preserve"> </w:t>
      </w:r>
    </w:p>
    <w:p w14:paraId="6D3B73B4" w14:textId="77777777" w:rsidR="00A87A39" w:rsidRPr="00FE7AAA" w:rsidRDefault="00A87A39" w:rsidP="00B3723D">
      <w:pPr>
        <w:spacing w:after="120" w:line="240" w:lineRule="auto"/>
        <w:contextualSpacing/>
        <w:rPr>
          <w:rFonts w:ascii="Arial Narrow" w:hAnsi="Arial Narrow"/>
          <w:szCs w:val="18"/>
        </w:rPr>
      </w:pPr>
      <w:r w:rsidRPr="00FE7AAA">
        <w:rPr>
          <w:rFonts w:ascii="Arial Narrow" w:hAnsi="Arial Narrow"/>
          <w:szCs w:val="18"/>
        </w:rPr>
        <w:t xml:space="preserve">Stahl Holdings </w:t>
      </w:r>
      <w:proofErr w:type="spellStart"/>
      <w:r w:rsidRPr="00FE7AAA">
        <w:rPr>
          <w:rFonts w:ascii="Arial Narrow" w:hAnsi="Arial Narrow"/>
          <w:szCs w:val="18"/>
        </w:rPr>
        <w:t>bv</w:t>
      </w:r>
      <w:proofErr w:type="spellEnd"/>
      <w:r w:rsidRPr="00FE7AAA">
        <w:rPr>
          <w:rFonts w:ascii="Arial Narrow" w:hAnsi="Arial Narrow"/>
          <w:szCs w:val="18"/>
        </w:rPr>
        <w:t xml:space="preserve">, Pol. Ind. </w:t>
      </w:r>
      <w:proofErr w:type="spellStart"/>
      <w:r w:rsidRPr="00FE7AAA">
        <w:rPr>
          <w:rFonts w:ascii="Arial Narrow" w:hAnsi="Arial Narrow"/>
          <w:szCs w:val="18"/>
        </w:rPr>
        <w:t>Llevant</w:t>
      </w:r>
      <w:proofErr w:type="spellEnd"/>
      <w:r w:rsidRPr="00FE7AAA">
        <w:rPr>
          <w:rFonts w:ascii="Arial Narrow" w:hAnsi="Arial Narrow"/>
          <w:szCs w:val="18"/>
        </w:rPr>
        <w:t xml:space="preserve">, c/ </w:t>
      </w:r>
      <w:proofErr w:type="spellStart"/>
      <w:r w:rsidRPr="00FE7AAA">
        <w:rPr>
          <w:rFonts w:ascii="Arial Narrow" w:hAnsi="Arial Narrow"/>
          <w:szCs w:val="18"/>
        </w:rPr>
        <w:t>Llevant</w:t>
      </w:r>
      <w:proofErr w:type="spellEnd"/>
      <w:r w:rsidRPr="00FE7AAA">
        <w:rPr>
          <w:rFonts w:ascii="Arial Narrow" w:hAnsi="Arial Narrow"/>
          <w:szCs w:val="18"/>
        </w:rPr>
        <w:t xml:space="preserve"> 7 - 08150 Parets del Vallès (Spain)</w:t>
      </w:r>
    </w:p>
    <w:p w14:paraId="73F1267A" w14:textId="273BC0AE" w:rsidR="00B57E6F" w:rsidRPr="00FE7AAA" w:rsidRDefault="00C412E7" w:rsidP="00B3723D">
      <w:pPr>
        <w:pStyle w:val="CETemail"/>
        <w:jc w:val="both"/>
        <w:rPr>
          <w:noProof w:val="0"/>
        </w:rPr>
      </w:pPr>
      <w:r w:rsidRPr="00FE7AAA">
        <w:rPr>
          <w:noProof w:val="0"/>
        </w:rPr>
        <w:t>alexis.pey@stahl.com</w:t>
      </w:r>
    </w:p>
    <w:p w14:paraId="38BF5F36" w14:textId="77777777" w:rsidR="0007379A" w:rsidRPr="00FE7AAA" w:rsidRDefault="0007379A" w:rsidP="008B6CC6">
      <w:pPr>
        <w:pStyle w:val="CETBodytext"/>
        <w:rPr>
          <w:lang w:val="en-GB"/>
        </w:rPr>
      </w:pPr>
      <w:bookmarkStart w:id="1" w:name="_Hlk495475023"/>
      <w:r w:rsidRPr="00FE7AAA">
        <w:rPr>
          <w:lang w:val="en-GB"/>
        </w:rPr>
        <w:t>Climate change is a phenomenon which can impact working and process conditions, as well as generate new scenarios for atmospheric hazards with potential impact on assets and operations.</w:t>
      </w:r>
    </w:p>
    <w:p w14:paraId="20B4761B" w14:textId="77777777" w:rsidR="0007379A" w:rsidRPr="00FE7AAA" w:rsidRDefault="0007379A" w:rsidP="008B6CC6">
      <w:pPr>
        <w:pStyle w:val="CETBodytext"/>
        <w:rPr>
          <w:lang w:val="en-GB"/>
        </w:rPr>
      </w:pPr>
      <w:r w:rsidRPr="00FE7AAA">
        <w:rPr>
          <w:lang w:val="en-GB"/>
        </w:rPr>
        <w:t xml:space="preserve">According to most models, changes will occur over the years’ time scale, allowing industries to plan and implement safety measures, however, measures to be implemented may require significant investment and a rather long time for design and effective implementation. </w:t>
      </w:r>
    </w:p>
    <w:p w14:paraId="4623BB55" w14:textId="77777777" w:rsidR="0007379A" w:rsidRPr="00FE7AAA" w:rsidRDefault="0007379A" w:rsidP="008B6CC6">
      <w:pPr>
        <w:pStyle w:val="CETBodytext"/>
        <w:rPr>
          <w:lang w:val="en-GB"/>
        </w:rPr>
      </w:pPr>
      <w:r w:rsidRPr="00FE7AAA">
        <w:rPr>
          <w:lang w:val="en-GB"/>
        </w:rPr>
        <w:t>For these reasons, it is important key define scenarios, plan actions well ahead, and approve investments on a technical basis.</w:t>
      </w:r>
    </w:p>
    <w:p w14:paraId="63D67754" w14:textId="77777777" w:rsidR="0007379A" w:rsidRPr="00FE7AAA" w:rsidRDefault="0007379A" w:rsidP="008B6CC6">
      <w:pPr>
        <w:pStyle w:val="CETBodytext"/>
        <w:rPr>
          <w:lang w:val="en-GB"/>
        </w:rPr>
      </w:pPr>
      <w:r w:rsidRPr="00FE7AAA">
        <w:rPr>
          <w:lang w:val="en-GB"/>
        </w:rPr>
        <w:t>With this purpose in mind, Stahl developed a new methodology to assess climate change resilience conditions and support the identification of climate change-related scenarios, the measure that may potentially be implemented and support the decision-making process in terms of investments.</w:t>
      </w:r>
    </w:p>
    <w:p w14:paraId="2008D854" w14:textId="35ACCE59" w:rsidR="0007379A" w:rsidRPr="00FE7AAA" w:rsidRDefault="0007379A" w:rsidP="008B6CC6">
      <w:pPr>
        <w:pStyle w:val="CETBodytext"/>
        <w:rPr>
          <w:lang w:val="en-GB"/>
        </w:rPr>
      </w:pPr>
      <w:r w:rsidRPr="00FE7AAA">
        <w:rPr>
          <w:lang w:val="en-GB"/>
        </w:rPr>
        <w:t>The paper will present the methodology, analysis factors, risk assessment criteria and a worked example.</w:t>
      </w:r>
    </w:p>
    <w:bookmarkEnd w:id="1"/>
    <w:p w14:paraId="476B2F2E" w14:textId="52B36035" w:rsidR="00600535" w:rsidRPr="00FE7AAA" w:rsidRDefault="00600535" w:rsidP="00B3723D">
      <w:pPr>
        <w:pStyle w:val="CETHeading1"/>
        <w:jc w:val="both"/>
        <w:rPr>
          <w:lang w:val="en-GB"/>
        </w:rPr>
      </w:pPr>
      <w:r w:rsidRPr="00FE7AAA">
        <w:rPr>
          <w:lang w:val="en-GB"/>
        </w:rPr>
        <w:t>Introduction</w:t>
      </w:r>
    </w:p>
    <w:p w14:paraId="3FF0A0ED" w14:textId="77777777" w:rsidR="00CB5848" w:rsidRPr="00FE7AAA" w:rsidRDefault="00CB5848" w:rsidP="00B3723D">
      <w:pPr>
        <w:pStyle w:val="CETBodytext"/>
        <w:rPr>
          <w:lang w:val="en-GB"/>
        </w:rPr>
      </w:pPr>
      <w:r w:rsidRPr="00FE7AAA">
        <w:rPr>
          <w:lang w:val="en-GB"/>
        </w:rPr>
        <w:t>Climate change is no longer a distant threat, it's a reality we face today, with its impacts becoming increasingly apparent and tangible year after year. As the world grapples with this global challenge, industries and organizations must adapt to ensure their resilience and continuity.</w:t>
      </w:r>
    </w:p>
    <w:p w14:paraId="6DCFC28E" w14:textId="77777777" w:rsidR="00723FC4" w:rsidRDefault="00CB5848" w:rsidP="00B3723D">
      <w:pPr>
        <w:pStyle w:val="CETBodytext"/>
        <w:rPr>
          <w:lang w:val="en-GB"/>
        </w:rPr>
      </w:pPr>
      <w:r w:rsidRPr="00FE7AAA">
        <w:rPr>
          <w:lang w:val="en-GB"/>
        </w:rPr>
        <w:t xml:space="preserve">In response to this pressing issue, </w:t>
      </w:r>
      <w:r w:rsidR="00723FC4">
        <w:rPr>
          <w:lang w:val="en-GB"/>
        </w:rPr>
        <w:t xml:space="preserve">and having assessed current potential solutions, the final decision was to </w:t>
      </w:r>
      <w:proofErr w:type="gramStart"/>
      <w:r w:rsidR="00723FC4">
        <w:rPr>
          <w:lang w:val="en-GB"/>
        </w:rPr>
        <w:t>developed</w:t>
      </w:r>
      <w:proofErr w:type="gramEnd"/>
      <w:r w:rsidR="00723FC4">
        <w:rPr>
          <w:lang w:val="en-GB"/>
        </w:rPr>
        <w:t xml:space="preserve"> an own methodology to answer both internal and external needs. </w:t>
      </w:r>
    </w:p>
    <w:p w14:paraId="0D5A6D28" w14:textId="12233FAE" w:rsidR="00CB5848" w:rsidRPr="00FE7AAA" w:rsidRDefault="00723FC4" w:rsidP="00B3723D">
      <w:pPr>
        <w:pStyle w:val="CETBodytext"/>
        <w:rPr>
          <w:lang w:val="en-GB"/>
        </w:rPr>
      </w:pPr>
      <w:r>
        <w:rPr>
          <w:lang w:val="en-GB"/>
        </w:rPr>
        <w:t xml:space="preserve">The </w:t>
      </w:r>
      <w:r w:rsidR="00CB5848" w:rsidRPr="00FE7AAA">
        <w:rPr>
          <w:lang w:val="en-GB"/>
        </w:rPr>
        <w:t xml:space="preserve">methodology </w:t>
      </w:r>
      <w:r>
        <w:rPr>
          <w:lang w:val="en-GB"/>
        </w:rPr>
        <w:t>adopted consists if the following main steps:</w:t>
      </w:r>
    </w:p>
    <w:p w14:paraId="611A4ED4" w14:textId="1F0CB6A6" w:rsidR="00CB5848" w:rsidRPr="00FE7AAA" w:rsidRDefault="00CB5848" w:rsidP="00B3723D">
      <w:pPr>
        <w:pStyle w:val="CETBodytext"/>
        <w:numPr>
          <w:ilvl w:val="0"/>
          <w:numId w:val="24"/>
        </w:numPr>
        <w:rPr>
          <w:lang w:val="en-GB"/>
        </w:rPr>
      </w:pPr>
      <w:r w:rsidRPr="00FE7AAA">
        <w:rPr>
          <w:lang w:val="en-GB"/>
        </w:rPr>
        <w:t xml:space="preserve">Define potential climate change </w:t>
      </w:r>
      <w:r w:rsidR="00723FC4">
        <w:rPr>
          <w:lang w:val="en-GB"/>
        </w:rPr>
        <w:t xml:space="preserve">hazard </w:t>
      </w:r>
      <w:r w:rsidRPr="00FE7AAA">
        <w:rPr>
          <w:lang w:val="en-GB"/>
        </w:rPr>
        <w:t>scenarios</w:t>
      </w:r>
    </w:p>
    <w:p w14:paraId="494EF6CD" w14:textId="1BFCBCEF" w:rsidR="00CB5848" w:rsidRDefault="00CB5848" w:rsidP="00B3723D">
      <w:pPr>
        <w:pStyle w:val="CETBodytext"/>
        <w:numPr>
          <w:ilvl w:val="0"/>
          <w:numId w:val="24"/>
        </w:numPr>
        <w:rPr>
          <w:lang w:val="en-GB"/>
        </w:rPr>
      </w:pPr>
      <w:r w:rsidRPr="00FE7AAA">
        <w:rPr>
          <w:lang w:val="en-GB"/>
        </w:rPr>
        <w:t>Assess the consequences of these scenarios</w:t>
      </w:r>
    </w:p>
    <w:p w14:paraId="73FBDED2" w14:textId="3D81853D" w:rsidR="00E82BB2" w:rsidRPr="00FE7AAA" w:rsidRDefault="00E82BB2" w:rsidP="00B3723D">
      <w:pPr>
        <w:pStyle w:val="CETBodytext"/>
        <w:numPr>
          <w:ilvl w:val="0"/>
          <w:numId w:val="24"/>
        </w:numPr>
        <w:rPr>
          <w:lang w:val="en-GB"/>
        </w:rPr>
      </w:pPr>
      <w:r>
        <w:rPr>
          <w:lang w:val="en-GB"/>
        </w:rPr>
        <w:t>Determine the exposure and sensitivity to the identified consequences</w:t>
      </w:r>
    </w:p>
    <w:p w14:paraId="755F03DD" w14:textId="2B415AEB" w:rsidR="00CB5848" w:rsidRPr="00FE7AAA" w:rsidRDefault="00CB5848" w:rsidP="00B3723D">
      <w:pPr>
        <w:pStyle w:val="CETBodytext"/>
        <w:numPr>
          <w:ilvl w:val="0"/>
          <w:numId w:val="24"/>
        </w:numPr>
        <w:rPr>
          <w:lang w:val="en-GB"/>
        </w:rPr>
      </w:pPr>
      <w:r w:rsidRPr="00FE7AAA">
        <w:rPr>
          <w:lang w:val="en-GB"/>
        </w:rPr>
        <w:t xml:space="preserve">Formulate targeted actions </w:t>
      </w:r>
      <w:r w:rsidR="00D859A1">
        <w:rPr>
          <w:lang w:val="en-GB"/>
        </w:rPr>
        <w:t xml:space="preserve">and define plans </w:t>
      </w:r>
      <w:r w:rsidRPr="00FE7AAA">
        <w:rPr>
          <w:lang w:val="en-GB"/>
        </w:rPr>
        <w:t>to maintain operational effectiveness</w:t>
      </w:r>
    </w:p>
    <w:p w14:paraId="1F57C390" w14:textId="449C4500" w:rsidR="00937DB6" w:rsidRDefault="00E82BB2" w:rsidP="00B3723D">
      <w:pPr>
        <w:pStyle w:val="CETBodytext"/>
        <w:rPr>
          <w:lang w:val="en-GB"/>
        </w:rPr>
      </w:pPr>
      <w:r>
        <w:rPr>
          <w:lang w:val="en-GB"/>
        </w:rPr>
        <w:t xml:space="preserve">The methodological basis has </w:t>
      </w:r>
      <w:r w:rsidR="000F1D8F">
        <w:rPr>
          <w:lang w:val="en-GB"/>
        </w:rPr>
        <w:t xml:space="preserve">the aim of clearly </w:t>
      </w:r>
      <w:r w:rsidR="00395819">
        <w:rPr>
          <w:lang w:val="en-GB"/>
        </w:rPr>
        <w:t>establishing</w:t>
      </w:r>
      <w:r w:rsidR="000F1D8F">
        <w:rPr>
          <w:lang w:val="en-GB"/>
        </w:rPr>
        <w:t xml:space="preserve"> the relationship between the various risk components according to </w:t>
      </w:r>
      <w:r w:rsidR="0033387C">
        <w:rPr>
          <w:lang w:val="en-GB"/>
        </w:rPr>
        <w:t xml:space="preserve">international reference guidelines </w:t>
      </w:r>
      <w:r w:rsidR="00E06737">
        <w:rPr>
          <w:lang w:val="en-GB"/>
        </w:rPr>
        <w:t xml:space="preserve">(CEN-CENELEC, </w:t>
      </w:r>
      <w:proofErr w:type="gramStart"/>
      <w:r w:rsidR="00E06737">
        <w:rPr>
          <w:lang w:val="en-GB"/>
        </w:rPr>
        <w:t>2016)</w:t>
      </w:r>
      <w:r w:rsidR="0033387C">
        <w:rPr>
          <w:lang w:val="en-GB"/>
        </w:rPr>
        <w:t>(</w:t>
      </w:r>
      <w:proofErr w:type="gramEnd"/>
      <w:r w:rsidR="0033387C">
        <w:rPr>
          <w:lang w:val="en-GB"/>
        </w:rPr>
        <w:t xml:space="preserve">IPCC, </w:t>
      </w:r>
      <w:r w:rsidR="002445C2">
        <w:rPr>
          <w:lang w:val="en-GB"/>
        </w:rPr>
        <w:t>2014</w:t>
      </w:r>
      <w:r w:rsidR="007E3E26">
        <w:rPr>
          <w:lang w:val="en-GB"/>
        </w:rPr>
        <w:t xml:space="preserve">)(IPCC, </w:t>
      </w:r>
      <w:r w:rsidR="002445C2">
        <w:rPr>
          <w:lang w:val="en-GB"/>
        </w:rPr>
        <w:t xml:space="preserve">2022) </w:t>
      </w:r>
      <w:r w:rsidR="0033387C">
        <w:rPr>
          <w:lang w:val="en-GB"/>
        </w:rPr>
        <w:t>and norms</w:t>
      </w:r>
      <w:r w:rsidR="00E06737">
        <w:rPr>
          <w:lang w:val="en-GB"/>
        </w:rPr>
        <w:t xml:space="preserve"> (ISO, 2021).</w:t>
      </w:r>
    </w:p>
    <w:p w14:paraId="5E444139" w14:textId="2C085086" w:rsidR="00CB5848" w:rsidRPr="00FE7AAA" w:rsidRDefault="00CB5848" w:rsidP="00B3723D">
      <w:pPr>
        <w:pStyle w:val="CETBodytext"/>
        <w:rPr>
          <w:lang w:val="en-GB"/>
        </w:rPr>
      </w:pPr>
      <w:r w:rsidRPr="00FE7AAA">
        <w:rPr>
          <w:lang w:val="en-GB"/>
        </w:rPr>
        <w:t xml:space="preserve">The assessment primarily concentrates on manufacturing locations and strategic </w:t>
      </w:r>
      <w:r w:rsidR="003237D2">
        <w:rPr>
          <w:lang w:val="en-GB"/>
        </w:rPr>
        <w:t>centres</w:t>
      </w:r>
      <w:r w:rsidRPr="00FE7AAA">
        <w:rPr>
          <w:lang w:val="en-GB"/>
        </w:rPr>
        <w:t xml:space="preserve"> of excellence.</w:t>
      </w:r>
    </w:p>
    <w:p w14:paraId="7B8711F4" w14:textId="77777777" w:rsidR="00CB5848" w:rsidRPr="00FE7AAA" w:rsidRDefault="00CB5848" w:rsidP="00B3723D">
      <w:pPr>
        <w:pStyle w:val="CETBodytext"/>
        <w:rPr>
          <w:lang w:val="en-GB"/>
        </w:rPr>
      </w:pPr>
      <w:r w:rsidRPr="00FE7AAA">
        <w:rPr>
          <w:lang w:val="en-GB"/>
        </w:rPr>
        <w:t>These key areas are evaluated for their vulnerability to hazards associated with extreme weather events, which are becoming more frequent and severe due to climate change.</w:t>
      </w:r>
    </w:p>
    <w:p w14:paraId="07C8AD36" w14:textId="34595666" w:rsidR="00CB5848" w:rsidRPr="00FE7AAA" w:rsidRDefault="00CB5848" w:rsidP="00B3723D">
      <w:pPr>
        <w:pStyle w:val="CETBodytext"/>
        <w:rPr>
          <w:lang w:val="en-GB"/>
        </w:rPr>
      </w:pPr>
      <w:r w:rsidRPr="00FE7AAA">
        <w:rPr>
          <w:lang w:val="en-GB"/>
        </w:rPr>
        <w:t>Addressing climate change impacts often requires significant financial investments, extended planning periods, and lengthy implementation timelines. Because of this, by initiating this assessment process early</w:t>
      </w:r>
      <w:r w:rsidR="00395819">
        <w:rPr>
          <w:lang w:val="en-GB"/>
        </w:rPr>
        <w:t xml:space="preserve"> and </w:t>
      </w:r>
      <w:r w:rsidRPr="00FE7AAA">
        <w:rPr>
          <w:lang w:val="en-GB"/>
        </w:rPr>
        <w:t>aim</w:t>
      </w:r>
      <w:r w:rsidR="00395819">
        <w:rPr>
          <w:lang w:val="en-GB"/>
        </w:rPr>
        <w:t>ing</w:t>
      </w:r>
      <w:r w:rsidRPr="00FE7AAA">
        <w:rPr>
          <w:lang w:val="en-GB"/>
        </w:rPr>
        <w:t xml:space="preserve"> to stay ahead of potential challenges, avoid</w:t>
      </w:r>
      <w:r w:rsidR="00395819">
        <w:rPr>
          <w:lang w:val="en-GB"/>
        </w:rPr>
        <w:t>ing</w:t>
      </w:r>
      <w:r w:rsidRPr="00FE7AAA">
        <w:rPr>
          <w:lang w:val="en-GB"/>
        </w:rPr>
        <w:t xml:space="preserve"> operational disruptions</w:t>
      </w:r>
      <w:r w:rsidR="00395819">
        <w:rPr>
          <w:lang w:val="en-GB"/>
        </w:rPr>
        <w:t>,</w:t>
      </w:r>
      <w:r w:rsidRPr="00FE7AAA">
        <w:rPr>
          <w:lang w:val="en-GB"/>
        </w:rPr>
        <w:t xml:space="preserve"> and </w:t>
      </w:r>
      <w:r w:rsidR="00395819">
        <w:rPr>
          <w:lang w:val="en-GB"/>
        </w:rPr>
        <w:t>ensuring</w:t>
      </w:r>
      <w:r w:rsidRPr="00FE7AAA">
        <w:rPr>
          <w:lang w:val="en-GB"/>
        </w:rPr>
        <w:t xml:space="preserve"> smooth transitions to new operational conditions.</w:t>
      </w:r>
    </w:p>
    <w:p w14:paraId="38A9B5ED" w14:textId="77777777" w:rsidR="00CB5848" w:rsidRPr="00FE7AAA" w:rsidRDefault="00CB5848" w:rsidP="00B3723D">
      <w:pPr>
        <w:pStyle w:val="CETBodytext"/>
        <w:rPr>
          <w:lang w:val="en-GB"/>
        </w:rPr>
      </w:pPr>
      <w:r w:rsidRPr="00FE7AAA">
        <w:rPr>
          <w:lang w:val="en-GB"/>
        </w:rPr>
        <w:t>This proactive approach allows the company to thoughtfully plan and implement necessary changes, rather than struggling to react to sudden environmental shifts.</w:t>
      </w:r>
    </w:p>
    <w:p w14:paraId="102B75AE" w14:textId="77777777" w:rsidR="000E4CA6" w:rsidRDefault="00395819" w:rsidP="00B3723D">
      <w:pPr>
        <w:pStyle w:val="CETBodytext"/>
        <w:rPr>
          <w:lang w:val="en-GB"/>
        </w:rPr>
      </w:pPr>
      <w:r>
        <w:rPr>
          <w:lang w:val="en-GB"/>
        </w:rPr>
        <w:t xml:space="preserve">Climate change is recognised no longer as an emerging risk, but as an </w:t>
      </w:r>
      <w:proofErr w:type="gramStart"/>
      <w:r>
        <w:rPr>
          <w:lang w:val="en-GB"/>
        </w:rPr>
        <w:t>actual hazards</w:t>
      </w:r>
      <w:proofErr w:type="gramEnd"/>
      <w:r>
        <w:rPr>
          <w:lang w:val="en-GB"/>
        </w:rPr>
        <w:t xml:space="preserve"> which needs to be considered </w:t>
      </w:r>
      <w:r w:rsidR="000E4CA6">
        <w:rPr>
          <w:lang w:val="en-GB"/>
        </w:rPr>
        <w:t>in terms of operational resilience and business continuity.</w:t>
      </w:r>
    </w:p>
    <w:p w14:paraId="61B51F9C" w14:textId="1BA8A016" w:rsidR="00CB5848" w:rsidRPr="00FE7AAA" w:rsidRDefault="00CB5848" w:rsidP="00B3723D">
      <w:pPr>
        <w:pStyle w:val="CETBodytext"/>
        <w:rPr>
          <w:lang w:val="en-GB"/>
        </w:rPr>
      </w:pPr>
      <w:r w:rsidRPr="00FE7AAA">
        <w:rPr>
          <w:lang w:val="en-GB"/>
        </w:rPr>
        <w:t>By taking steps to understand and prepare for the impacts of climate change, compan</w:t>
      </w:r>
      <w:r w:rsidR="000E4CA6">
        <w:rPr>
          <w:lang w:val="en-GB"/>
        </w:rPr>
        <w:t xml:space="preserve">ies are </w:t>
      </w:r>
      <w:r w:rsidRPr="00FE7AAA">
        <w:rPr>
          <w:lang w:val="en-GB"/>
        </w:rPr>
        <w:t xml:space="preserve">not only safeguarding its future but also contributing to the broader global effort to adapt to </w:t>
      </w:r>
      <w:r w:rsidR="00CD2C4C">
        <w:rPr>
          <w:lang w:val="en-GB"/>
        </w:rPr>
        <w:t>mitigate its effects.</w:t>
      </w:r>
    </w:p>
    <w:p w14:paraId="7C8A8DB1" w14:textId="77777777" w:rsidR="00CB5848" w:rsidRPr="00FE7AAA" w:rsidRDefault="00CB5848" w:rsidP="00B3723D">
      <w:pPr>
        <w:pStyle w:val="CETBodytext"/>
        <w:rPr>
          <w:lang w:val="en-GB"/>
        </w:rPr>
      </w:pPr>
    </w:p>
    <w:p w14:paraId="399D8931" w14:textId="565F07DC" w:rsidR="00DE4EB6" w:rsidRPr="00FE7AAA" w:rsidRDefault="00EE141C" w:rsidP="00F52AF2">
      <w:pPr>
        <w:pStyle w:val="CETHeading1"/>
      </w:pPr>
      <w:r>
        <w:lastRenderedPageBreak/>
        <w:t xml:space="preserve">Scenario </w:t>
      </w:r>
      <w:r w:rsidR="00C82D8D">
        <w:t>Catalogue</w:t>
      </w:r>
    </w:p>
    <w:p w14:paraId="58AA0705" w14:textId="47D9E63C" w:rsidR="004D36DE" w:rsidRDefault="004D36DE" w:rsidP="004D36DE">
      <w:pPr>
        <w:pStyle w:val="CETheadingx"/>
      </w:pPr>
      <w:r>
        <w:t>Reference data</w:t>
      </w:r>
    </w:p>
    <w:p w14:paraId="3B749D50" w14:textId="2855BF79" w:rsidR="004D36DE" w:rsidRDefault="00C82D8D" w:rsidP="008B6CC6">
      <w:pPr>
        <w:pStyle w:val="CETBodytext"/>
        <w:rPr>
          <w:lang w:val="en-GB"/>
        </w:rPr>
      </w:pPr>
      <w:r>
        <w:rPr>
          <w:lang w:val="en-GB"/>
        </w:rPr>
        <w:t xml:space="preserve">The definition of climate change scenarios </w:t>
      </w:r>
      <w:r w:rsidR="004D36DE">
        <w:rPr>
          <w:lang w:val="en-GB"/>
        </w:rPr>
        <w:t xml:space="preserve">starts by </w:t>
      </w:r>
      <w:r w:rsidR="00605CC9">
        <w:rPr>
          <w:lang w:val="en-GB"/>
        </w:rPr>
        <w:t xml:space="preserve">gathering data </w:t>
      </w:r>
      <w:r w:rsidR="00E75C16">
        <w:rPr>
          <w:lang w:val="en-GB"/>
        </w:rPr>
        <w:t>on potential climate conditions and their consequences</w:t>
      </w:r>
      <w:r w:rsidR="00605CC9">
        <w:rPr>
          <w:lang w:val="en-GB"/>
        </w:rPr>
        <w:t xml:space="preserve"> </w:t>
      </w:r>
      <w:r w:rsidR="00E75C16">
        <w:rPr>
          <w:lang w:val="en-GB"/>
        </w:rPr>
        <w:t xml:space="preserve">on weather </w:t>
      </w:r>
      <w:r w:rsidR="00881DBB">
        <w:rPr>
          <w:lang w:val="en-GB"/>
        </w:rPr>
        <w:t>variables.</w:t>
      </w:r>
    </w:p>
    <w:p w14:paraId="53182B92" w14:textId="03F8F583" w:rsidR="00666DB6" w:rsidRDefault="006A5CFF" w:rsidP="00B450A0">
      <w:pPr>
        <w:pStyle w:val="CETBodytext"/>
        <w:rPr>
          <w:lang w:val="en-GB"/>
        </w:rPr>
      </w:pPr>
      <w:r>
        <w:rPr>
          <w:lang w:val="en-GB"/>
        </w:rPr>
        <w:t>T</w:t>
      </w:r>
      <w:r w:rsidR="00666DB6">
        <w:rPr>
          <w:lang w:val="en-GB"/>
        </w:rPr>
        <w:t xml:space="preserve">he scenario definition is equivalent </w:t>
      </w:r>
      <w:r w:rsidR="00373EC6">
        <w:rPr>
          <w:lang w:val="en-GB"/>
        </w:rPr>
        <w:t xml:space="preserve">to many risk assessment methodologies, a variable is chosen and then a condition </w:t>
      </w:r>
      <w:r w:rsidR="000B10A7">
        <w:rPr>
          <w:lang w:val="en-GB"/>
        </w:rPr>
        <w:t xml:space="preserve">is </w:t>
      </w:r>
      <w:r w:rsidR="00373EC6">
        <w:rPr>
          <w:lang w:val="en-GB"/>
        </w:rPr>
        <w:t xml:space="preserve">defined to make it drift out of the normal </w:t>
      </w:r>
      <w:r w:rsidR="000B10A7">
        <w:rPr>
          <w:lang w:val="en-GB"/>
        </w:rPr>
        <w:t>average parameters.</w:t>
      </w:r>
    </w:p>
    <w:p w14:paraId="5CC7FBB4" w14:textId="1982924E" w:rsidR="00932B3E" w:rsidRDefault="005D2E01" w:rsidP="00B450A0">
      <w:pPr>
        <w:pStyle w:val="CETBodytext"/>
        <w:rPr>
          <w:lang w:val="en-GB"/>
        </w:rPr>
      </w:pPr>
      <w:r>
        <w:rPr>
          <w:lang w:val="en-GB"/>
        </w:rPr>
        <w:t>U</w:t>
      </w:r>
      <w:r w:rsidR="00932B3E">
        <w:rPr>
          <w:lang w:val="en-GB"/>
        </w:rPr>
        <w:t xml:space="preserve">ncertainty is related to the different prediction models available and potential evolution of climate </w:t>
      </w:r>
      <w:r>
        <w:rPr>
          <w:lang w:val="en-GB"/>
        </w:rPr>
        <w:t xml:space="preserve">temperature increase, in first place, and in second place to the effect that the temperature increase will have on other </w:t>
      </w:r>
      <w:r w:rsidR="00932B3E">
        <w:rPr>
          <w:lang w:val="en-GB"/>
        </w:rPr>
        <w:t>variables</w:t>
      </w:r>
      <w:r>
        <w:rPr>
          <w:lang w:val="en-GB"/>
        </w:rPr>
        <w:t>.</w:t>
      </w:r>
    </w:p>
    <w:p w14:paraId="71A8E0F3" w14:textId="62C2B749" w:rsidR="005D2E01" w:rsidRPr="00FE7AAA" w:rsidRDefault="005D2E01" w:rsidP="00B450A0">
      <w:pPr>
        <w:pStyle w:val="CETBodytext"/>
        <w:rPr>
          <w:lang w:val="en-GB"/>
        </w:rPr>
      </w:pPr>
      <w:r>
        <w:rPr>
          <w:lang w:val="en-GB"/>
        </w:rPr>
        <w:t>For the implementation of the methodology, public reference reports (I</w:t>
      </w:r>
      <w:r w:rsidR="007827CB">
        <w:rPr>
          <w:lang w:val="en-GB"/>
        </w:rPr>
        <w:t>P</w:t>
      </w:r>
      <w:r>
        <w:rPr>
          <w:lang w:val="en-GB"/>
        </w:rPr>
        <w:t>CC,</w:t>
      </w:r>
      <w:proofErr w:type="gramStart"/>
      <w:r w:rsidR="007827CB">
        <w:rPr>
          <w:lang w:val="en-GB"/>
        </w:rPr>
        <w:t>2023)(</w:t>
      </w:r>
      <w:proofErr w:type="gramEnd"/>
      <w:r w:rsidR="007827CB">
        <w:rPr>
          <w:lang w:val="en-GB"/>
        </w:rPr>
        <w:t>IPCC, 2022), and internal reports prepared by expert consultants have been considered.</w:t>
      </w:r>
    </w:p>
    <w:p w14:paraId="182234DB" w14:textId="6ECC031B" w:rsidR="00B450A0" w:rsidRPr="00FE7AAA" w:rsidRDefault="00F60A7D" w:rsidP="00F52AF2">
      <w:pPr>
        <w:pStyle w:val="CETheadingx"/>
      </w:pPr>
      <w:r>
        <w:t xml:space="preserve">Impact </w:t>
      </w:r>
      <w:r w:rsidR="00B450A0" w:rsidRPr="00FE7AAA">
        <w:t>Variable</w:t>
      </w:r>
    </w:p>
    <w:p w14:paraId="3D859992" w14:textId="19D7BB2D" w:rsidR="00B450A0" w:rsidRPr="00FE7AAA" w:rsidRDefault="00B450A0" w:rsidP="00B450A0">
      <w:pPr>
        <w:pStyle w:val="CETBodytext"/>
        <w:rPr>
          <w:lang w:val="en-GB"/>
        </w:rPr>
      </w:pPr>
      <w:r w:rsidRPr="00FE7AAA">
        <w:rPr>
          <w:lang w:val="en-GB"/>
        </w:rPr>
        <w:t xml:space="preserve">The </w:t>
      </w:r>
      <w:r w:rsidR="00F60A7D">
        <w:rPr>
          <w:lang w:val="en-GB"/>
        </w:rPr>
        <w:t xml:space="preserve">impact </w:t>
      </w:r>
      <w:r w:rsidRPr="00FE7AAA">
        <w:rPr>
          <w:lang w:val="en-GB"/>
        </w:rPr>
        <w:t xml:space="preserve">variable refers to the specific climate factors being </w:t>
      </w:r>
      <w:r w:rsidR="00F60A7D">
        <w:rPr>
          <w:lang w:val="en-GB"/>
        </w:rPr>
        <w:t xml:space="preserve">influence by the average temperature increase </w:t>
      </w:r>
      <w:r w:rsidRPr="00FE7AAA">
        <w:rPr>
          <w:lang w:val="en-GB"/>
        </w:rPr>
        <w:t>considered. These factors can include, but are not limited to:</w:t>
      </w:r>
    </w:p>
    <w:p w14:paraId="31D863BA" w14:textId="2492777E" w:rsidR="00B450A0" w:rsidRPr="00FE7AAA" w:rsidRDefault="00B450A0" w:rsidP="003237D2">
      <w:pPr>
        <w:pStyle w:val="CETListbullets"/>
        <w:numPr>
          <w:ilvl w:val="0"/>
          <w:numId w:val="13"/>
        </w:numPr>
      </w:pPr>
      <w:r w:rsidRPr="00FE7AAA">
        <w:t>Temperature</w:t>
      </w:r>
      <w:r w:rsidR="00000EF5">
        <w:t xml:space="preserve">: heat waves (sustained higher temperature periods), </w:t>
      </w:r>
      <w:r w:rsidRPr="00FE7AAA">
        <w:t xml:space="preserve">and </w:t>
      </w:r>
      <w:r w:rsidR="00000EF5">
        <w:t xml:space="preserve">peak </w:t>
      </w:r>
      <w:r w:rsidR="00661D4A">
        <w:t xml:space="preserve">temperature </w:t>
      </w:r>
      <w:r w:rsidRPr="00FE7AAA">
        <w:t>values</w:t>
      </w:r>
      <w:r w:rsidR="00000EF5">
        <w:t>.</w:t>
      </w:r>
    </w:p>
    <w:p w14:paraId="5576A2C5" w14:textId="42DE49B9" w:rsidR="00B450A0" w:rsidRPr="00FE7AAA" w:rsidRDefault="00B450A0" w:rsidP="003237D2">
      <w:pPr>
        <w:pStyle w:val="CETListbullets"/>
        <w:numPr>
          <w:ilvl w:val="0"/>
          <w:numId w:val="13"/>
        </w:numPr>
      </w:pPr>
      <w:r w:rsidRPr="00FE7AAA">
        <w:t>Precipitation patterns</w:t>
      </w:r>
      <w:r w:rsidR="00000EF5">
        <w:t xml:space="preserve">: </w:t>
      </w:r>
      <w:r w:rsidRPr="00FE7AAA">
        <w:t xml:space="preserve">rain intensity, </w:t>
      </w:r>
      <w:r w:rsidR="00000EF5">
        <w:t xml:space="preserve">rain </w:t>
      </w:r>
      <w:r w:rsidRPr="00FE7AAA">
        <w:t xml:space="preserve">frequency, and </w:t>
      </w:r>
      <w:r w:rsidR="00000EF5">
        <w:t xml:space="preserve">rain period </w:t>
      </w:r>
      <w:r w:rsidRPr="00FE7AAA">
        <w:t>duration</w:t>
      </w:r>
    </w:p>
    <w:p w14:paraId="434F555B" w14:textId="173E0FBE" w:rsidR="00B450A0" w:rsidRPr="00FE7AAA" w:rsidRDefault="00B450A0" w:rsidP="003237D2">
      <w:pPr>
        <w:pStyle w:val="CETListbullets"/>
        <w:numPr>
          <w:ilvl w:val="0"/>
          <w:numId w:val="13"/>
        </w:numPr>
      </w:pPr>
      <w:r w:rsidRPr="00FE7AAA">
        <w:t>Wind speed</w:t>
      </w:r>
      <w:r w:rsidR="00000EF5">
        <w:t>: top wind</w:t>
      </w:r>
      <w:r w:rsidR="00B14F6D">
        <w:t>speed</w:t>
      </w:r>
    </w:p>
    <w:p w14:paraId="359AB0C0" w14:textId="72DBFA5F" w:rsidR="00B450A0" w:rsidRPr="00FE7AAA" w:rsidRDefault="00C66B0E" w:rsidP="003237D2">
      <w:pPr>
        <w:pStyle w:val="CETListbullets"/>
        <w:numPr>
          <w:ilvl w:val="0"/>
          <w:numId w:val="13"/>
        </w:numPr>
      </w:pPr>
      <w:r>
        <w:t>Water levels</w:t>
      </w:r>
      <w:r w:rsidR="0040033E">
        <w:t>: c</w:t>
      </w:r>
      <w:r>
        <w:t xml:space="preserve">oastal </w:t>
      </w:r>
      <w:r w:rsidR="0040033E">
        <w:t xml:space="preserve">linked to global water increase levels, </w:t>
      </w:r>
      <w:r>
        <w:t>and inland</w:t>
      </w:r>
      <w:r w:rsidR="0040033E">
        <w:t xml:space="preserve"> linked to rain conditions</w:t>
      </w:r>
    </w:p>
    <w:p w14:paraId="0A7B7644" w14:textId="1BEBB308" w:rsidR="00B450A0" w:rsidRPr="00FE7AAA" w:rsidRDefault="00B450A0" w:rsidP="003237D2">
      <w:pPr>
        <w:pStyle w:val="CETListbullets"/>
        <w:numPr>
          <w:ilvl w:val="0"/>
          <w:numId w:val="13"/>
        </w:numPr>
      </w:pPr>
      <w:r w:rsidRPr="00FE7AAA">
        <w:t>Extreme weather events</w:t>
      </w:r>
      <w:r w:rsidR="0040033E">
        <w:t xml:space="preserve">: </w:t>
      </w:r>
      <w:r w:rsidRPr="00FE7AAA">
        <w:t>such as hurricanes</w:t>
      </w:r>
      <w:r w:rsidR="00AF3199">
        <w:t xml:space="preserve"> and</w:t>
      </w:r>
      <w:r w:rsidRPr="00FE7AAA">
        <w:t xml:space="preserve"> </w:t>
      </w:r>
      <w:r w:rsidR="00AF3199">
        <w:t>tornadoes</w:t>
      </w:r>
    </w:p>
    <w:p w14:paraId="458BF663" w14:textId="58C6EDD5" w:rsidR="00B450A0" w:rsidRPr="00FE7AAA" w:rsidRDefault="00B450A0" w:rsidP="00B450A0">
      <w:pPr>
        <w:pStyle w:val="CETBodytext"/>
        <w:rPr>
          <w:lang w:val="en-GB"/>
        </w:rPr>
      </w:pPr>
      <w:r w:rsidRPr="00FE7AAA">
        <w:rPr>
          <w:lang w:val="en-GB"/>
        </w:rPr>
        <w:t>Each of these variables plays a crucial role in shaping the overall climate system and can have significant impacts on various sectors and ecosystems</w:t>
      </w:r>
      <w:r w:rsidR="00E03776">
        <w:rPr>
          <w:lang w:val="en-GB"/>
        </w:rPr>
        <w:t xml:space="preserve"> </w:t>
      </w:r>
      <w:r w:rsidR="00161329" w:rsidRPr="00FE7AAA">
        <w:rPr>
          <w:lang w:val="en-GB"/>
        </w:rPr>
        <w:t xml:space="preserve">(WMO, </w:t>
      </w:r>
      <w:r w:rsidR="0006437C" w:rsidRPr="00FE7AAA">
        <w:rPr>
          <w:lang w:val="en-GB"/>
        </w:rPr>
        <w:t>2021)</w:t>
      </w:r>
      <w:r w:rsidRPr="00FE7AAA">
        <w:rPr>
          <w:lang w:val="en-GB"/>
        </w:rPr>
        <w:t>.</w:t>
      </w:r>
    </w:p>
    <w:p w14:paraId="0BFDEF42" w14:textId="496D4213" w:rsidR="00B450A0" w:rsidRPr="00F52AF2" w:rsidRDefault="00F52AF2" w:rsidP="00D66183">
      <w:pPr>
        <w:pStyle w:val="CETheadingx"/>
        <w:rPr>
          <w:lang w:val="en-GB"/>
        </w:rPr>
      </w:pPr>
      <w:r>
        <w:t>Scenario</w:t>
      </w:r>
    </w:p>
    <w:p w14:paraId="029C09CA" w14:textId="77777777" w:rsidR="00B450A0" w:rsidRPr="00FE7AAA" w:rsidRDefault="00B450A0" w:rsidP="00B450A0">
      <w:pPr>
        <w:pStyle w:val="CETBodytext"/>
        <w:rPr>
          <w:lang w:val="en-GB"/>
        </w:rPr>
      </w:pPr>
      <w:r w:rsidRPr="00FE7AAA">
        <w:rPr>
          <w:lang w:val="en-GB"/>
        </w:rPr>
        <w:t>The scenario parameter describes the deviation considered for the variable of interest. This deviation can be characterized in terms of magnitude, direction, or duration. Examples of scenarios include:</w:t>
      </w:r>
    </w:p>
    <w:p w14:paraId="50BF12BA" w14:textId="4F30B87B" w:rsidR="00B450A0" w:rsidRDefault="00AF3199" w:rsidP="001A320F">
      <w:pPr>
        <w:pStyle w:val="CETListbullets"/>
        <w:numPr>
          <w:ilvl w:val="0"/>
          <w:numId w:val="13"/>
        </w:numPr>
      </w:pPr>
      <w:r>
        <w:t>Increase of heat waves</w:t>
      </w:r>
      <w:r w:rsidR="00661D4A">
        <w:t xml:space="preserve"> duration and frequency</w:t>
      </w:r>
    </w:p>
    <w:p w14:paraId="09A22B32" w14:textId="1AB73347" w:rsidR="00661D4A" w:rsidRDefault="00661D4A" w:rsidP="001A320F">
      <w:pPr>
        <w:pStyle w:val="CETListbullets"/>
        <w:numPr>
          <w:ilvl w:val="0"/>
          <w:numId w:val="13"/>
        </w:numPr>
      </w:pPr>
      <w:r>
        <w:t xml:space="preserve">Peak temperature </w:t>
      </w:r>
      <w:proofErr w:type="gramStart"/>
      <w:r>
        <w:t>increase</w:t>
      </w:r>
      <w:proofErr w:type="gramEnd"/>
      <w:r>
        <w:t xml:space="preserve"> or decrease</w:t>
      </w:r>
    </w:p>
    <w:p w14:paraId="28962069" w14:textId="78A59BD8" w:rsidR="008D3118" w:rsidRDefault="008D3118" w:rsidP="005903A1">
      <w:pPr>
        <w:pStyle w:val="CETListbullets"/>
        <w:numPr>
          <w:ilvl w:val="0"/>
          <w:numId w:val="13"/>
        </w:numPr>
      </w:pPr>
      <w:r>
        <w:t>I</w:t>
      </w:r>
      <w:r>
        <w:t>ncrease or decrease</w:t>
      </w:r>
      <w:r>
        <w:t xml:space="preserve"> of r</w:t>
      </w:r>
      <w:r w:rsidR="00661D4A">
        <w:t xml:space="preserve">ainfall </w:t>
      </w:r>
      <w:r>
        <w:t xml:space="preserve">amount in a single storm episode </w:t>
      </w:r>
    </w:p>
    <w:p w14:paraId="66EC78FD" w14:textId="75C884A8" w:rsidR="00B450A0" w:rsidRPr="00FE7AAA" w:rsidRDefault="00B450A0" w:rsidP="00820001">
      <w:pPr>
        <w:pStyle w:val="CETListbullets"/>
        <w:numPr>
          <w:ilvl w:val="0"/>
          <w:numId w:val="13"/>
        </w:numPr>
      </w:pPr>
      <w:r w:rsidRPr="00FE7AAA">
        <w:t>More frequent and intense extreme weather events</w:t>
      </w:r>
    </w:p>
    <w:p w14:paraId="18EA7860" w14:textId="10CB0FAA" w:rsidR="00B450A0" w:rsidRPr="00FE7AAA" w:rsidRDefault="001A3DFD" w:rsidP="001A320F">
      <w:pPr>
        <w:pStyle w:val="CETListbullets"/>
        <w:numPr>
          <w:ilvl w:val="0"/>
          <w:numId w:val="13"/>
        </w:numPr>
      </w:pPr>
      <w:r>
        <w:t>Rain frequency increase or decrease</w:t>
      </w:r>
    </w:p>
    <w:p w14:paraId="2CE558DC" w14:textId="176B857D" w:rsidR="00B450A0" w:rsidRDefault="00B450A0" w:rsidP="001A320F">
      <w:pPr>
        <w:pStyle w:val="CETListbullets"/>
        <w:numPr>
          <w:ilvl w:val="0"/>
          <w:numId w:val="13"/>
        </w:numPr>
      </w:pPr>
      <w:r w:rsidRPr="00FE7AAA">
        <w:t>Higher maximum wind speeds</w:t>
      </w:r>
    </w:p>
    <w:p w14:paraId="7E97B545" w14:textId="73730E82" w:rsidR="00B450A0" w:rsidRDefault="00B450A0" w:rsidP="00B450A0">
      <w:pPr>
        <w:pStyle w:val="CETBodytext"/>
        <w:rPr>
          <w:lang w:val="en-GB"/>
        </w:rPr>
      </w:pPr>
      <w:r w:rsidRPr="00FE7AAA">
        <w:rPr>
          <w:lang w:val="en-GB"/>
        </w:rPr>
        <w:t>These scenarios are typically based on climate model projections and consider different emissions pathways and socioeconomic developments</w:t>
      </w:r>
      <w:r w:rsidR="0006437C" w:rsidRPr="00FE7AAA">
        <w:rPr>
          <w:lang w:val="en-GB"/>
        </w:rPr>
        <w:t xml:space="preserve"> (van Vuuren</w:t>
      </w:r>
      <w:r w:rsidR="00D500F3" w:rsidRPr="00FE7AAA">
        <w:rPr>
          <w:lang w:val="en-GB"/>
        </w:rPr>
        <w:t xml:space="preserve"> et al., 2011)</w:t>
      </w:r>
      <w:r w:rsidRPr="00FE7AAA">
        <w:rPr>
          <w:lang w:val="en-GB"/>
        </w:rPr>
        <w:t>.</w:t>
      </w:r>
    </w:p>
    <w:p w14:paraId="547547A2" w14:textId="1C44FDEF" w:rsidR="000978F6" w:rsidRPr="00FE7AAA" w:rsidRDefault="002F5146" w:rsidP="00B450A0">
      <w:pPr>
        <w:pStyle w:val="CETBodytext"/>
        <w:rPr>
          <w:lang w:val="en-GB"/>
        </w:rPr>
      </w:pPr>
      <w:r>
        <w:rPr>
          <w:lang w:val="en-GB"/>
        </w:rPr>
        <w:t>In the methodology proposed, at least two scenarios are defined in each impact variable, corresponding to a two different increase levels of temperature. This is in accordance with the interpretation of the CSRD requirements (European Union, 2022).</w:t>
      </w:r>
    </w:p>
    <w:p w14:paraId="5C4AC904" w14:textId="659B7830" w:rsidR="00B450A0" w:rsidRPr="00FE7AAA" w:rsidRDefault="00B450A0" w:rsidP="00DE341E">
      <w:pPr>
        <w:pStyle w:val="CETheadingx"/>
      </w:pPr>
      <w:r w:rsidRPr="00FE7AAA">
        <w:t>Scenario Detailed Description</w:t>
      </w:r>
    </w:p>
    <w:p w14:paraId="0F3D62AE" w14:textId="725F3C4E" w:rsidR="0012323D" w:rsidRDefault="000978F6" w:rsidP="00A02FB8">
      <w:pPr>
        <w:pStyle w:val="CETBodytext"/>
        <w:rPr>
          <w:lang w:val="en-GB"/>
        </w:rPr>
      </w:pPr>
      <w:r>
        <w:rPr>
          <w:lang w:val="en-GB"/>
        </w:rPr>
        <w:t>For each scenario, a</w:t>
      </w:r>
      <w:r w:rsidR="00B450A0" w:rsidRPr="00FE7AAA">
        <w:rPr>
          <w:lang w:val="en-GB"/>
        </w:rPr>
        <w:t xml:space="preserve"> comprehensive and detailed description of the </w:t>
      </w:r>
      <w:r w:rsidR="00F30DC8">
        <w:rPr>
          <w:lang w:val="en-GB"/>
        </w:rPr>
        <w:t xml:space="preserve">weather variable affected, and the </w:t>
      </w:r>
      <w:r w:rsidR="00B450A0" w:rsidRPr="00FE7AAA">
        <w:rPr>
          <w:lang w:val="en-GB"/>
        </w:rPr>
        <w:t>potential consequences</w:t>
      </w:r>
      <w:r w:rsidR="0012323D">
        <w:rPr>
          <w:lang w:val="en-GB"/>
        </w:rPr>
        <w:t xml:space="preserve"> is prepared</w:t>
      </w:r>
      <w:r w:rsidR="00B450A0" w:rsidRPr="00FE7AAA">
        <w:rPr>
          <w:lang w:val="en-GB"/>
        </w:rPr>
        <w:t xml:space="preserve">. </w:t>
      </w:r>
    </w:p>
    <w:p w14:paraId="76CECADE" w14:textId="1A302C85" w:rsidR="00B450A0" w:rsidRDefault="0012323D" w:rsidP="00A02FB8">
      <w:pPr>
        <w:pStyle w:val="CETBodytext"/>
        <w:rPr>
          <w:lang w:val="en-GB"/>
        </w:rPr>
      </w:pPr>
      <w:r>
        <w:rPr>
          <w:lang w:val="en-GB"/>
        </w:rPr>
        <w:t xml:space="preserve">The description </w:t>
      </w:r>
      <w:r w:rsidR="00B450A0" w:rsidRPr="00FE7AAA">
        <w:rPr>
          <w:lang w:val="en-GB"/>
        </w:rPr>
        <w:t xml:space="preserve">takes into account the local context and </w:t>
      </w:r>
      <w:proofErr w:type="gramStart"/>
      <w:r w:rsidR="00B450A0" w:rsidRPr="00FE7AAA">
        <w:rPr>
          <w:lang w:val="en-GB"/>
        </w:rPr>
        <w:t>vulnerabilities, and</w:t>
      </w:r>
      <w:proofErr w:type="gramEnd"/>
      <w:r w:rsidR="00B450A0" w:rsidRPr="00FE7AAA">
        <w:rPr>
          <w:lang w:val="en-GB"/>
        </w:rPr>
        <w:t xml:space="preserve"> aims to provide a clear understanding of the potential risks and opportunities associated with the scenario</w:t>
      </w:r>
      <w:r w:rsidR="00D500F3" w:rsidRPr="00FE7AAA">
        <w:rPr>
          <w:lang w:val="en-GB"/>
        </w:rPr>
        <w:t xml:space="preserve"> (NCA, 2018)</w:t>
      </w:r>
      <w:r w:rsidR="00B450A0" w:rsidRPr="00FE7AAA">
        <w:rPr>
          <w:lang w:val="en-GB"/>
        </w:rPr>
        <w:t>.</w:t>
      </w:r>
    </w:p>
    <w:p w14:paraId="001894AD" w14:textId="442A2450" w:rsidR="00A02FB8" w:rsidRDefault="00291D40" w:rsidP="00A02FB8">
      <w:pPr>
        <w:pStyle w:val="CETBodytext"/>
        <w:rPr>
          <w:lang w:val="en-GB"/>
        </w:rPr>
      </w:pPr>
      <w:r>
        <w:rPr>
          <w:lang w:val="en-GB"/>
        </w:rPr>
        <w:t>The detailed description</w:t>
      </w:r>
      <w:r w:rsidR="00685DCE">
        <w:rPr>
          <w:lang w:val="en-GB"/>
        </w:rPr>
        <w:t xml:space="preserve"> </w:t>
      </w:r>
      <w:r w:rsidR="00472613">
        <w:rPr>
          <w:lang w:val="en-GB"/>
        </w:rPr>
        <w:t xml:space="preserve">shall be quantitative as much as possible, </w:t>
      </w:r>
      <w:r w:rsidR="00FF787C">
        <w:rPr>
          <w:lang w:val="en-GB"/>
        </w:rPr>
        <w:t>avoiding</w:t>
      </w:r>
      <w:r w:rsidR="00472613">
        <w:rPr>
          <w:lang w:val="en-GB"/>
        </w:rPr>
        <w:t xml:space="preserve"> generic and qualitative parameters</w:t>
      </w:r>
      <w:r w:rsidR="0012323D">
        <w:rPr>
          <w:lang w:val="en-GB"/>
        </w:rPr>
        <w:t xml:space="preserve">, </w:t>
      </w:r>
      <w:r>
        <w:rPr>
          <w:lang w:val="en-GB"/>
        </w:rPr>
        <w:t>allow</w:t>
      </w:r>
      <w:r w:rsidR="00472613">
        <w:rPr>
          <w:lang w:val="en-GB"/>
        </w:rPr>
        <w:t>ing</w:t>
      </w:r>
      <w:r>
        <w:rPr>
          <w:lang w:val="en-GB"/>
        </w:rPr>
        <w:t xml:space="preserve"> </w:t>
      </w:r>
      <w:r w:rsidR="0012323D">
        <w:rPr>
          <w:lang w:val="en-GB"/>
        </w:rPr>
        <w:t>for assessing</w:t>
      </w:r>
      <w:r w:rsidR="00472613">
        <w:rPr>
          <w:lang w:val="en-GB"/>
        </w:rPr>
        <w:t xml:space="preserve"> </w:t>
      </w:r>
      <w:r>
        <w:rPr>
          <w:lang w:val="en-GB"/>
        </w:rPr>
        <w:t xml:space="preserve">potential consequences </w:t>
      </w:r>
      <w:r w:rsidR="00472613">
        <w:rPr>
          <w:lang w:val="en-GB"/>
        </w:rPr>
        <w:t>in detail</w:t>
      </w:r>
      <w:r>
        <w:rPr>
          <w:lang w:val="en-GB"/>
        </w:rPr>
        <w:t>.</w:t>
      </w:r>
    </w:p>
    <w:p w14:paraId="69E68706" w14:textId="66213571" w:rsidR="00291D40" w:rsidRDefault="00291D40" w:rsidP="00A02FB8">
      <w:pPr>
        <w:pStyle w:val="CETBodytext"/>
        <w:rPr>
          <w:lang w:val="en-GB"/>
        </w:rPr>
      </w:pPr>
      <w:r>
        <w:rPr>
          <w:lang w:val="en-GB"/>
        </w:rPr>
        <w:t xml:space="preserve">Examples of Scenario Detailed </w:t>
      </w:r>
      <w:r w:rsidR="00E23A32">
        <w:rPr>
          <w:lang w:val="en-GB"/>
        </w:rPr>
        <w:t>Descriptions</w:t>
      </w:r>
      <w:r>
        <w:rPr>
          <w:lang w:val="en-GB"/>
        </w:rPr>
        <w:t xml:space="preserve"> are:</w:t>
      </w:r>
    </w:p>
    <w:p w14:paraId="767C22A3" w14:textId="3F2FCD75" w:rsidR="00291D40" w:rsidRDefault="00291D40" w:rsidP="00C54DAC">
      <w:pPr>
        <w:pStyle w:val="CETListbullets"/>
        <w:numPr>
          <w:ilvl w:val="0"/>
          <w:numId w:val="13"/>
        </w:numPr>
      </w:pPr>
      <w:r w:rsidRPr="00291D40">
        <w:t xml:space="preserve">Heat waves </w:t>
      </w:r>
      <w:r w:rsidR="00472613">
        <w:t>(</w:t>
      </w:r>
      <w:r w:rsidR="00743C2F">
        <w:t xml:space="preserve">maximum temperature above 35ºC) </w:t>
      </w:r>
      <w:r w:rsidRPr="00291D40">
        <w:t xml:space="preserve">will be frequent </w:t>
      </w:r>
      <w:r w:rsidR="009948D5">
        <w:t>for</w:t>
      </w:r>
      <w:r w:rsidRPr="00291D40">
        <w:t xml:space="preserve"> 3 months per year. Increase in thermal stress on job positions requiring physical activity.</w:t>
      </w:r>
      <w:r w:rsidR="009948D5">
        <w:t xml:space="preserve"> </w:t>
      </w:r>
      <w:r w:rsidRPr="00291D40">
        <w:t xml:space="preserve">Heat stroke hazards </w:t>
      </w:r>
      <w:r w:rsidR="009948D5">
        <w:t xml:space="preserve">are </w:t>
      </w:r>
      <w:r w:rsidRPr="00291D40">
        <w:t>to be considered.</w:t>
      </w:r>
    </w:p>
    <w:p w14:paraId="64A95F80" w14:textId="6D2BD308" w:rsidR="00291D40" w:rsidRDefault="00812DF1" w:rsidP="0084403B">
      <w:pPr>
        <w:pStyle w:val="CETListbullets"/>
        <w:numPr>
          <w:ilvl w:val="0"/>
          <w:numId w:val="13"/>
        </w:numPr>
      </w:pPr>
      <w:r w:rsidRPr="00812DF1">
        <w:t xml:space="preserve">Even if overall rainfall may decrease, the intensity of rain in the area will be </w:t>
      </w:r>
      <w:r w:rsidR="0012323D">
        <w:t xml:space="preserve">a 20% </w:t>
      </w:r>
      <w:r w:rsidRPr="00812DF1">
        <w:t xml:space="preserve">higher </w:t>
      </w:r>
      <w:r w:rsidR="00A26CE8">
        <w:t>in rainy episodes</w:t>
      </w:r>
      <w:r w:rsidRPr="00812DF1">
        <w:t>.</w:t>
      </w:r>
      <w:r>
        <w:t xml:space="preserve"> </w:t>
      </w:r>
      <w:r w:rsidR="00A26CE8">
        <w:t xml:space="preserve">Rainfall amount in peak episodes has the potential to cause flooding in the area disturbing </w:t>
      </w:r>
      <w:r w:rsidR="002737DE">
        <w:t>supply chain for a period between 1 and 3 weeks.</w:t>
      </w:r>
    </w:p>
    <w:p w14:paraId="46E0D7F0" w14:textId="12302E0D" w:rsidR="009948D5" w:rsidRDefault="002737DE" w:rsidP="0084403B">
      <w:pPr>
        <w:pStyle w:val="CETListbullets"/>
        <w:numPr>
          <w:ilvl w:val="0"/>
          <w:numId w:val="13"/>
        </w:numPr>
      </w:pPr>
      <w:r>
        <w:t>Peak w</w:t>
      </w:r>
      <w:r w:rsidR="00D34A12" w:rsidRPr="00D34A12">
        <w:t xml:space="preserve">indspeed </w:t>
      </w:r>
      <w:r>
        <w:t>increase during storm</w:t>
      </w:r>
      <w:r w:rsidR="008153B9">
        <w:t xml:space="preserve">s </w:t>
      </w:r>
      <w:r w:rsidR="009D0F21">
        <w:t xml:space="preserve">with a maximum registered of </w:t>
      </w:r>
      <w:r w:rsidR="00C71BE5">
        <w:t>120 km/h. P</w:t>
      </w:r>
      <w:r w:rsidR="00D34A12" w:rsidRPr="00D34A12">
        <w:t>otential damage to structures and machinery</w:t>
      </w:r>
      <w:r w:rsidR="00C71BE5">
        <w:t xml:space="preserve">, </w:t>
      </w:r>
      <w:r w:rsidR="000959A6">
        <w:t>debris</w:t>
      </w:r>
      <w:r w:rsidR="00C71BE5">
        <w:t xml:space="preserve"> generation flying away and causing impacts </w:t>
      </w:r>
      <w:r w:rsidR="000959A6">
        <w:t>on activities and assets around.</w:t>
      </w:r>
    </w:p>
    <w:p w14:paraId="2115D813" w14:textId="61E15264" w:rsidR="008153B9" w:rsidRPr="00291D40" w:rsidRDefault="008153B9" w:rsidP="0084403B">
      <w:pPr>
        <w:pStyle w:val="CETListbullets"/>
        <w:numPr>
          <w:ilvl w:val="0"/>
          <w:numId w:val="13"/>
        </w:numPr>
      </w:pPr>
      <w:r>
        <w:t xml:space="preserve">Hail frequency increase to a critical episode per year, involving hail size up to 5 cm diameter. Hail may damage roofs, solar panels, </w:t>
      </w:r>
      <w:r w:rsidR="009D0F21">
        <w:t>and vehicles.</w:t>
      </w:r>
    </w:p>
    <w:p w14:paraId="03C65D2F" w14:textId="062E228A" w:rsidR="00B450A0" w:rsidRPr="00FE7AAA" w:rsidRDefault="00B450A0" w:rsidP="00D34A12">
      <w:pPr>
        <w:pStyle w:val="CETheadingx"/>
      </w:pPr>
      <w:r w:rsidRPr="00FE7AAA">
        <w:lastRenderedPageBreak/>
        <w:t>Confidence Factor</w:t>
      </w:r>
    </w:p>
    <w:p w14:paraId="2B1B0735" w14:textId="77777777" w:rsidR="00B450A0" w:rsidRPr="00FE7AAA" w:rsidRDefault="00B450A0" w:rsidP="00B450A0">
      <w:pPr>
        <w:pStyle w:val="CETBodytext"/>
        <w:rPr>
          <w:lang w:val="en-GB"/>
        </w:rPr>
      </w:pPr>
      <w:r w:rsidRPr="00FE7AAA">
        <w:rPr>
          <w:lang w:val="en-GB"/>
        </w:rPr>
        <w:t>The confidence factor is a crucial parameter that quantifies the likelihood of the potential scenario occurring. It is defined by assessing the certainty of the available information and is expressed on a scale from 0.2 to 1:</w:t>
      </w:r>
    </w:p>
    <w:p w14:paraId="0B913A80" w14:textId="77777777" w:rsidR="00B450A0" w:rsidRPr="00FE7AAA" w:rsidRDefault="00B450A0" w:rsidP="00D34A12">
      <w:pPr>
        <w:pStyle w:val="CETBodytext"/>
        <w:numPr>
          <w:ilvl w:val="0"/>
          <w:numId w:val="29"/>
        </w:numPr>
        <w:rPr>
          <w:lang w:val="en-GB"/>
        </w:rPr>
      </w:pPr>
      <w:r w:rsidRPr="00FE7AAA">
        <w:rPr>
          <w:lang w:val="en-GB"/>
        </w:rPr>
        <w:t>1.0: Conditions already experienced OR absolute certainty</w:t>
      </w:r>
    </w:p>
    <w:p w14:paraId="5D7DF506" w14:textId="77777777" w:rsidR="00B450A0" w:rsidRPr="00FE7AAA" w:rsidRDefault="00B450A0" w:rsidP="00D34A12">
      <w:pPr>
        <w:pStyle w:val="CETBodytext"/>
        <w:numPr>
          <w:ilvl w:val="0"/>
          <w:numId w:val="29"/>
        </w:numPr>
        <w:rPr>
          <w:lang w:val="en-GB"/>
        </w:rPr>
      </w:pPr>
      <w:r w:rsidRPr="00FE7AAA">
        <w:rPr>
          <w:lang w:val="en-GB"/>
        </w:rPr>
        <w:t>0.8: Modelled forecasts available with clear trends and the timeline for effects taking place</w:t>
      </w:r>
    </w:p>
    <w:p w14:paraId="442DCDAF" w14:textId="77777777" w:rsidR="00B450A0" w:rsidRPr="00FE7AAA" w:rsidRDefault="00B450A0" w:rsidP="00D34A12">
      <w:pPr>
        <w:pStyle w:val="CETBodytext"/>
        <w:numPr>
          <w:ilvl w:val="0"/>
          <w:numId w:val="29"/>
        </w:numPr>
        <w:rPr>
          <w:lang w:val="en-GB"/>
        </w:rPr>
      </w:pPr>
      <w:r w:rsidRPr="00FE7AAA">
        <w:rPr>
          <w:lang w:val="en-GB"/>
        </w:rPr>
        <w:t>0.6: Modelled forecasts available with some discrepancy in terms of effect level and/or timeframe</w:t>
      </w:r>
    </w:p>
    <w:p w14:paraId="2C3878A2" w14:textId="77777777" w:rsidR="00B450A0" w:rsidRPr="00FE7AAA" w:rsidRDefault="00B450A0" w:rsidP="00D34A12">
      <w:pPr>
        <w:pStyle w:val="CETBodytext"/>
        <w:numPr>
          <w:ilvl w:val="0"/>
          <w:numId w:val="29"/>
        </w:numPr>
        <w:rPr>
          <w:lang w:val="en-GB"/>
        </w:rPr>
      </w:pPr>
      <w:r w:rsidRPr="00FE7AAA">
        <w:rPr>
          <w:lang w:val="en-GB"/>
        </w:rPr>
        <w:t>0.4: Forecasts available with high uncertainty on the level of effect and/or timeframe</w:t>
      </w:r>
    </w:p>
    <w:p w14:paraId="0D78B253" w14:textId="77777777" w:rsidR="00B450A0" w:rsidRPr="00FE7AAA" w:rsidRDefault="00B450A0" w:rsidP="00D34A12">
      <w:pPr>
        <w:pStyle w:val="CETBodytext"/>
        <w:numPr>
          <w:ilvl w:val="0"/>
          <w:numId w:val="29"/>
        </w:numPr>
        <w:rPr>
          <w:lang w:val="en-GB"/>
        </w:rPr>
      </w:pPr>
      <w:r w:rsidRPr="00FE7AAA">
        <w:rPr>
          <w:lang w:val="en-GB"/>
        </w:rPr>
        <w:t>0.2: Forecast based on reasonable assumptions rather than models. No data on effects or timeframe.</w:t>
      </w:r>
    </w:p>
    <w:p w14:paraId="2DA61424" w14:textId="64FA0A15" w:rsidR="00B450A0" w:rsidRPr="00FE7AAA" w:rsidRDefault="00B450A0" w:rsidP="00B450A0">
      <w:pPr>
        <w:pStyle w:val="CETBodytext"/>
        <w:rPr>
          <w:lang w:val="en-GB"/>
        </w:rPr>
      </w:pPr>
      <w:r w:rsidRPr="00FE7AAA">
        <w:rPr>
          <w:lang w:val="en-GB"/>
        </w:rPr>
        <w:t>This factor helps in prioritizing adaptation efforts and resource allocation based on the level of confidence in the projected scenarios.</w:t>
      </w:r>
    </w:p>
    <w:p w14:paraId="056ACBD7" w14:textId="4CFB1D9E" w:rsidR="00B450A0" w:rsidRPr="00FE7AAA" w:rsidRDefault="00B450A0" w:rsidP="00D34A12">
      <w:pPr>
        <w:pStyle w:val="CETheadingx"/>
      </w:pPr>
      <w:r w:rsidRPr="00FE7AAA">
        <w:t>Timeframe</w:t>
      </w:r>
    </w:p>
    <w:p w14:paraId="34BE1467" w14:textId="77777777" w:rsidR="00B450A0" w:rsidRPr="00FE7AAA" w:rsidRDefault="00B450A0" w:rsidP="00B450A0">
      <w:pPr>
        <w:pStyle w:val="CETBodytext"/>
        <w:rPr>
          <w:lang w:val="en-GB"/>
        </w:rPr>
      </w:pPr>
      <w:r w:rsidRPr="00FE7AAA">
        <w:rPr>
          <w:lang w:val="en-GB"/>
        </w:rPr>
        <w:t>The timeframe parameter indicates when, based on references and projections, the potential scenario is expected to occur. It is categorized into three main periods:</w:t>
      </w:r>
    </w:p>
    <w:p w14:paraId="507CF6ED" w14:textId="32A9DFA2" w:rsidR="00B450A0" w:rsidRPr="00FE7AAA" w:rsidRDefault="00B450A0" w:rsidP="00D34A12">
      <w:pPr>
        <w:pStyle w:val="CETBodytext"/>
        <w:numPr>
          <w:ilvl w:val="0"/>
          <w:numId w:val="29"/>
        </w:numPr>
        <w:rPr>
          <w:lang w:val="en-GB"/>
        </w:rPr>
      </w:pPr>
      <w:r w:rsidRPr="00FE7AAA">
        <w:rPr>
          <w:lang w:val="en-GB"/>
        </w:rPr>
        <w:t>Less than 5 years: Short-term impacts that require immediate attention and action</w:t>
      </w:r>
    </w:p>
    <w:p w14:paraId="6519B6D7" w14:textId="0BC4A648" w:rsidR="00B450A0" w:rsidRPr="00FE7AAA" w:rsidRDefault="00B450A0" w:rsidP="00D34A12">
      <w:pPr>
        <w:pStyle w:val="CETBodytext"/>
        <w:numPr>
          <w:ilvl w:val="0"/>
          <w:numId w:val="29"/>
        </w:numPr>
        <w:rPr>
          <w:lang w:val="en-GB"/>
        </w:rPr>
      </w:pPr>
      <w:r w:rsidRPr="00FE7AAA">
        <w:rPr>
          <w:lang w:val="en-GB"/>
        </w:rPr>
        <w:t>Between 5 and 20 years: Medium-term effects that allow for strategic planning and implementation of adaptation measures</w:t>
      </w:r>
    </w:p>
    <w:p w14:paraId="268840A8" w14:textId="386312AB" w:rsidR="00B450A0" w:rsidRPr="00FE7AAA" w:rsidRDefault="00B450A0" w:rsidP="00D34A12">
      <w:pPr>
        <w:pStyle w:val="CETBodytext"/>
        <w:numPr>
          <w:ilvl w:val="0"/>
          <w:numId w:val="29"/>
        </w:numPr>
        <w:rPr>
          <w:lang w:val="en-GB"/>
        </w:rPr>
      </w:pPr>
      <w:r w:rsidRPr="00FE7AAA">
        <w:rPr>
          <w:lang w:val="en-GB"/>
        </w:rPr>
        <w:t>Beyond 20 years: Long-term projections that may inform long-range planning and policy development</w:t>
      </w:r>
    </w:p>
    <w:p w14:paraId="310C1980" w14:textId="6639EC17" w:rsidR="00B450A0" w:rsidRPr="00FE7AAA" w:rsidRDefault="00B450A0" w:rsidP="00B450A0">
      <w:pPr>
        <w:pStyle w:val="CETBodytext"/>
        <w:rPr>
          <w:lang w:val="en-GB"/>
        </w:rPr>
      </w:pPr>
      <w:r w:rsidRPr="00FE7AAA">
        <w:rPr>
          <w:lang w:val="en-GB"/>
        </w:rPr>
        <w:t>Some scenarios may be classified as "not relevant" if they are not expected to have significant impacts within the foreseeable future or are outside the scope of the assessment.</w:t>
      </w:r>
    </w:p>
    <w:p w14:paraId="4E296C8E" w14:textId="77777777" w:rsidR="00B450A0" w:rsidRDefault="00B450A0" w:rsidP="00B450A0">
      <w:pPr>
        <w:pStyle w:val="CETBodytext"/>
        <w:rPr>
          <w:lang w:val="en-GB"/>
        </w:rPr>
      </w:pPr>
      <w:r w:rsidRPr="00FE7AAA">
        <w:rPr>
          <w:lang w:val="en-GB"/>
        </w:rPr>
        <w:t>By systematically considering these parameters, decision-makers and planners can develop a comprehensive understanding of potential climate-related risks and opportunities, enabling them to formulate effective adaptation strategies and resilience-building measures.</w:t>
      </w:r>
    </w:p>
    <w:p w14:paraId="47C607EF" w14:textId="34D1EF39" w:rsidR="009F7252" w:rsidRDefault="009F7252" w:rsidP="00B450A0">
      <w:pPr>
        <w:pStyle w:val="CETBodytext"/>
        <w:rPr>
          <w:lang w:val="en-GB"/>
        </w:rPr>
      </w:pPr>
      <w:r>
        <w:rPr>
          <w:lang w:val="en-GB"/>
        </w:rPr>
        <w:t>The timeframe does not impact on the risk rating, it is assessed to support the action plan prioritisation.</w:t>
      </w:r>
    </w:p>
    <w:p w14:paraId="31D21F4C" w14:textId="1C02E9B5" w:rsidR="00B93E8E" w:rsidRDefault="002D73A9" w:rsidP="009F5D53">
      <w:pPr>
        <w:pStyle w:val="CETHeading1"/>
      </w:pPr>
      <w:r>
        <w:t>Risk Rating</w:t>
      </w:r>
    </w:p>
    <w:p w14:paraId="63EA5FD8" w14:textId="74BF1A4E" w:rsidR="009F7252" w:rsidRPr="009F7252" w:rsidRDefault="009F7252" w:rsidP="009F7252">
      <w:pPr>
        <w:pStyle w:val="CETBodytext"/>
      </w:pPr>
      <w:r>
        <w:t>Finally, the risk rating is defined</w:t>
      </w:r>
      <w:r w:rsidR="00AC74A1">
        <w:t xml:space="preserve">. To do so, the severity </w:t>
      </w:r>
      <w:r w:rsidR="00765466">
        <w:t xml:space="preserve">at local level </w:t>
      </w:r>
      <w:r w:rsidR="00AC74A1">
        <w:t xml:space="preserve">and the confidence in the described scenario consequences are </w:t>
      </w:r>
      <w:r w:rsidR="00765466">
        <w:t>considered</w:t>
      </w:r>
      <w:r w:rsidR="00AC74A1">
        <w:t>.</w:t>
      </w:r>
    </w:p>
    <w:p w14:paraId="0B625A79" w14:textId="3FC8044C" w:rsidR="009F5D53" w:rsidRDefault="00B93E8E" w:rsidP="00B93E8E">
      <w:pPr>
        <w:pStyle w:val="CETheadingx"/>
      </w:pPr>
      <w:r>
        <w:t xml:space="preserve">Local </w:t>
      </w:r>
      <w:r w:rsidR="00D138B0">
        <w:t>Impact</w:t>
      </w:r>
    </w:p>
    <w:p w14:paraId="0CB77308" w14:textId="494C5FAE" w:rsidR="00C070AD" w:rsidRDefault="00765466" w:rsidP="009F5D53">
      <w:pPr>
        <w:pStyle w:val="CETBodytext"/>
      </w:pPr>
      <w:r>
        <w:t>T</w:t>
      </w:r>
      <w:r w:rsidR="009F5D53" w:rsidRPr="009F5D53">
        <w:t>he local team conduct</w:t>
      </w:r>
      <w:r w:rsidR="00B425CC">
        <w:t>s</w:t>
      </w:r>
      <w:r w:rsidR="009F5D53" w:rsidRPr="009F5D53">
        <w:t xml:space="preserve"> a comprehensive review and </w:t>
      </w:r>
      <w:r w:rsidR="00B425CC">
        <w:t xml:space="preserve">assessment </w:t>
      </w:r>
      <w:r w:rsidR="009F5D53" w:rsidRPr="009F5D53">
        <w:t>of each scenario</w:t>
      </w:r>
      <w:r w:rsidR="00C070AD">
        <w:t xml:space="preserve"> in the frame of the </w:t>
      </w:r>
      <w:r w:rsidR="004A4AB2">
        <w:t>site</w:t>
      </w:r>
      <w:r w:rsidR="00C070AD">
        <w:t xml:space="preserve"> of interest.</w:t>
      </w:r>
    </w:p>
    <w:p w14:paraId="52D0ECDA" w14:textId="77777777" w:rsidR="0010641D" w:rsidRDefault="0010641D" w:rsidP="0010641D">
      <w:pPr>
        <w:pStyle w:val="CETBodytext"/>
      </w:pPr>
      <w:r w:rsidRPr="009F5D53">
        <w:t xml:space="preserve">The local teams </w:t>
      </w:r>
      <w:r>
        <w:t xml:space="preserve">put the </w:t>
      </w:r>
      <w:proofErr w:type="gramStart"/>
      <w:r>
        <w:t>described scenario</w:t>
      </w:r>
      <w:proofErr w:type="gramEnd"/>
      <w:r>
        <w:t xml:space="preserve"> in the </w:t>
      </w:r>
      <w:r w:rsidRPr="009F5D53">
        <w:t xml:space="preserve">site's specific </w:t>
      </w:r>
      <w:r>
        <w:t>context</w:t>
      </w:r>
      <w:r w:rsidRPr="009F5D53">
        <w:t xml:space="preserve">, including its geographical location, existing infrastructure, and current operational procedures. </w:t>
      </w:r>
    </w:p>
    <w:p w14:paraId="63F54124" w14:textId="341B3AD1" w:rsidR="0010641D" w:rsidRDefault="0010641D" w:rsidP="0010641D">
      <w:pPr>
        <w:pStyle w:val="CETBodytext"/>
      </w:pPr>
      <w:r>
        <w:t>The local impact is assessed, when necessary, per plant, area and building of the site.</w:t>
      </w:r>
    </w:p>
    <w:p w14:paraId="5377DF1F" w14:textId="74C4A19E" w:rsidR="009F5D53" w:rsidRPr="009F5D53" w:rsidRDefault="009F5D53" w:rsidP="009F5D53">
      <w:pPr>
        <w:pStyle w:val="CETBodytext"/>
      </w:pPr>
      <w:r w:rsidRPr="009F5D53">
        <w:t xml:space="preserve">This process involves a detailed examination of the potential </w:t>
      </w:r>
      <w:proofErr w:type="gramStart"/>
      <w:r w:rsidRPr="009F5D53">
        <w:t>impacts</w:t>
      </w:r>
      <w:proofErr w:type="gramEnd"/>
      <w:r w:rsidRPr="009F5D53">
        <w:t xml:space="preserve"> that the new conditions may have on various aspects of the site. The assessment will consider factors such as:</w:t>
      </w:r>
    </w:p>
    <w:p w14:paraId="38B77FA1" w14:textId="77777777" w:rsidR="009F5D53" w:rsidRPr="009F5D53" w:rsidRDefault="009F5D53" w:rsidP="00C070AD">
      <w:pPr>
        <w:pStyle w:val="CETBodytext"/>
        <w:numPr>
          <w:ilvl w:val="0"/>
          <w:numId w:val="29"/>
        </w:numPr>
        <w:rPr>
          <w:lang w:val="en-GB"/>
        </w:rPr>
      </w:pPr>
      <w:r w:rsidRPr="009F5D53">
        <w:rPr>
          <w:lang w:val="en-GB"/>
        </w:rPr>
        <w:t>Infrastructure vulnerability</w:t>
      </w:r>
    </w:p>
    <w:p w14:paraId="72A81562" w14:textId="77777777" w:rsidR="009F5D53" w:rsidRPr="009F5D53" w:rsidRDefault="009F5D53" w:rsidP="00C070AD">
      <w:pPr>
        <w:pStyle w:val="CETBodytext"/>
        <w:numPr>
          <w:ilvl w:val="0"/>
          <w:numId w:val="29"/>
        </w:numPr>
        <w:rPr>
          <w:lang w:val="en-GB"/>
        </w:rPr>
      </w:pPr>
      <w:r w:rsidRPr="009F5D53">
        <w:rPr>
          <w:lang w:val="en-GB"/>
        </w:rPr>
        <w:t>Operational continuity</w:t>
      </w:r>
    </w:p>
    <w:p w14:paraId="35493EE6" w14:textId="77777777" w:rsidR="009F5D53" w:rsidRPr="009F5D53" w:rsidRDefault="009F5D53" w:rsidP="00C070AD">
      <w:pPr>
        <w:pStyle w:val="CETBodytext"/>
        <w:numPr>
          <w:ilvl w:val="0"/>
          <w:numId w:val="29"/>
        </w:numPr>
        <w:rPr>
          <w:lang w:val="en-GB"/>
        </w:rPr>
      </w:pPr>
      <w:r w:rsidRPr="009F5D53">
        <w:rPr>
          <w:lang w:val="en-GB"/>
        </w:rPr>
        <w:t>Safety and security implications</w:t>
      </w:r>
    </w:p>
    <w:p w14:paraId="55FEBF6A" w14:textId="77777777" w:rsidR="009F5D53" w:rsidRPr="009F5D53" w:rsidRDefault="009F5D53" w:rsidP="00C070AD">
      <w:pPr>
        <w:pStyle w:val="CETBodytext"/>
        <w:numPr>
          <w:ilvl w:val="0"/>
          <w:numId w:val="29"/>
        </w:numPr>
        <w:rPr>
          <w:lang w:val="en-GB"/>
        </w:rPr>
      </w:pPr>
      <w:r w:rsidRPr="009F5D53">
        <w:rPr>
          <w:lang w:val="en-GB"/>
        </w:rPr>
        <w:t>Environmental consequences</w:t>
      </w:r>
    </w:p>
    <w:p w14:paraId="290238C0" w14:textId="77777777" w:rsidR="009F5D53" w:rsidRPr="009F5D53" w:rsidRDefault="009F5D53" w:rsidP="00C070AD">
      <w:pPr>
        <w:pStyle w:val="CETBodytext"/>
        <w:numPr>
          <w:ilvl w:val="0"/>
          <w:numId w:val="29"/>
        </w:numPr>
        <w:rPr>
          <w:lang w:val="en-GB"/>
        </w:rPr>
      </w:pPr>
      <w:r w:rsidRPr="009F5D53">
        <w:rPr>
          <w:lang w:val="en-GB"/>
        </w:rPr>
        <w:t>Economic effects</w:t>
      </w:r>
    </w:p>
    <w:p w14:paraId="430EF5E2" w14:textId="569FFA9B" w:rsidR="00B93E8E" w:rsidRPr="0010641D" w:rsidRDefault="009F5D53" w:rsidP="009F5D53">
      <w:pPr>
        <w:pStyle w:val="CETBodytext"/>
        <w:numPr>
          <w:ilvl w:val="0"/>
          <w:numId w:val="29"/>
        </w:numPr>
        <w:rPr>
          <w:lang w:val="en-GB"/>
        </w:rPr>
      </w:pPr>
      <w:r w:rsidRPr="009F5D53">
        <w:rPr>
          <w:lang w:val="en-GB"/>
        </w:rPr>
        <w:t>Regulatory compliance</w:t>
      </w:r>
    </w:p>
    <w:p w14:paraId="2020DF83" w14:textId="7F8CFEAF" w:rsidR="00C070AD" w:rsidRDefault="00B93E8E" w:rsidP="00B93E8E">
      <w:pPr>
        <w:pStyle w:val="CETheadingx"/>
      </w:pPr>
      <w:r>
        <w:t>Severity</w:t>
      </w:r>
    </w:p>
    <w:p w14:paraId="6ACC2724" w14:textId="77777777" w:rsidR="0010641D" w:rsidRDefault="009F5D53" w:rsidP="00C830E1">
      <w:pPr>
        <w:pStyle w:val="CETBodytext"/>
      </w:pPr>
      <w:r w:rsidRPr="009F5D53">
        <w:t>Based on th</w:t>
      </w:r>
      <w:r w:rsidR="0010641D">
        <w:t xml:space="preserve">e </w:t>
      </w:r>
      <w:r w:rsidRPr="009F5D53">
        <w:t xml:space="preserve">assessment </w:t>
      </w:r>
      <w:r w:rsidR="0010641D">
        <w:t xml:space="preserve">description, </w:t>
      </w:r>
      <w:r w:rsidR="00C070AD">
        <w:t>the severity is defined</w:t>
      </w:r>
      <w:r w:rsidR="00C830E1">
        <w:t>.</w:t>
      </w:r>
    </w:p>
    <w:p w14:paraId="1145DC17" w14:textId="46203A0E" w:rsidR="00C830E1" w:rsidRDefault="00C830E1" w:rsidP="00C830E1">
      <w:pPr>
        <w:pStyle w:val="CETBodytext"/>
        <w:rPr>
          <w:lang w:val="en-GB"/>
        </w:rPr>
      </w:pPr>
      <w:proofErr w:type="gramStart"/>
      <w:r>
        <w:t>The severity</w:t>
      </w:r>
      <w:proofErr w:type="gramEnd"/>
      <w:r>
        <w:t xml:space="preserve"> </w:t>
      </w:r>
      <w:r w:rsidRPr="00C830E1">
        <w:rPr>
          <w:lang w:val="en-GB"/>
        </w:rPr>
        <w:t xml:space="preserve">refers to the extent or intensity of the negative impact or consequences of the potential scenario </w:t>
      </w:r>
      <w:r w:rsidR="00487A7F">
        <w:rPr>
          <w:lang w:val="en-GB"/>
        </w:rPr>
        <w:t>in the local context</w:t>
      </w:r>
      <w:r w:rsidRPr="00C830E1">
        <w:rPr>
          <w:lang w:val="en-GB"/>
        </w:rPr>
        <w:t xml:space="preserve">. </w:t>
      </w:r>
    </w:p>
    <w:p w14:paraId="128E2446" w14:textId="5124F132" w:rsidR="00C830E1" w:rsidRPr="00C830E1" w:rsidRDefault="00C830E1" w:rsidP="00C830E1">
      <w:pPr>
        <w:pStyle w:val="CETBodytext"/>
        <w:rPr>
          <w:lang w:val="es-ES"/>
        </w:rPr>
      </w:pPr>
      <w:r w:rsidRPr="00C830E1">
        <w:rPr>
          <w:lang w:val="en-GB"/>
        </w:rPr>
        <w:t>The severity is ranked as follows:</w:t>
      </w:r>
    </w:p>
    <w:p w14:paraId="54B136D4" w14:textId="2A95D949" w:rsidR="00C830E1" w:rsidRPr="00C830E1" w:rsidRDefault="00C830E1" w:rsidP="002811C2">
      <w:pPr>
        <w:pStyle w:val="CETBodytext"/>
        <w:numPr>
          <w:ilvl w:val="0"/>
          <w:numId w:val="31"/>
        </w:numPr>
        <w:rPr>
          <w:lang w:val="en-GB"/>
        </w:rPr>
      </w:pPr>
      <w:r w:rsidRPr="00C830E1">
        <w:rPr>
          <w:lang w:val="en-GB"/>
        </w:rPr>
        <w:t>No impact on the way to produce.</w:t>
      </w:r>
    </w:p>
    <w:p w14:paraId="72EBA1F5" w14:textId="736B7D65" w:rsidR="009F1A5B" w:rsidRDefault="00C830E1" w:rsidP="002811C2">
      <w:pPr>
        <w:pStyle w:val="CETBodytext"/>
        <w:numPr>
          <w:ilvl w:val="0"/>
          <w:numId w:val="31"/>
        </w:numPr>
        <w:rPr>
          <w:lang w:val="en-GB"/>
        </w:rPr>
      </w:pPr>
      <w:r w:rsidRPr="00C830E1">
        <w:rPr>
          <w:lang w:val="en-GB"/>
        </w:rPr>
        <w:t>Activities will require adaptation in line with best practices OR common improvement projects</w:t>
      </w:r>
      <w:r w:rsidR="009F1A5B">
        <w:rPr>
          <w:lang w:val="en-GB"/>
        </w:rPr>
        <w:t>.</w:t>
      </w:r>
    </w:p>
    <w:p w14:paraId="41B68C48" w14:textId="3A65420D" w:rsidR="00C830E1" w:rsidRDefault="00C830E1" w:rsidP="002811C2">
      <w:pPr>
        <w:pStyle w:val="CETBodytext"/>
        <w:numPr>
          <w:ilvl w:val="0"/>
          <w:numId w:val="31"/>
        </w:numPr>
        <w:rPr>
          <w:lang w:val="en-GB"/>
        </w:rPr>
      </w:pPr>
      <w:r w:rsidRPr="00C830E1">
        <w:rPr>
          <w:lang w:val="en-GB"/>
        </w:rPr>
        <w:t>Significant activity change OR impact on operational performance</w:t>
      </w:r>
      <w:r w:rsidR="009F1A5B">
        <w:rPr>
          <w:lang w:val="en-GB"/>
        </w:rPr>
        <w:t>.</w:t>
      </w:r>
    </w:p>
    <w:p w14:paraId="13307D00" w14:textId="245F91EC" w:rsidR="00C830E1" w:rsidRPr="00C830E1" w:rsidRDefault="00C830E1" w:rsidP="002811C2">
      <w:pPr>
        <w:pStyle w:val="CETBodytext"/>
        <w:numPr>
          <w:ilvl w:val="0"/>
          <w:numId w:val="31"/>
        </w:numPr>
        <w:rPr>
          <w:lang w:val="en-GB"/>
        </w:rPr>
      </w:pPr>
      <w:r w:rsidRPr="00C830E1">
        <w:rPr>
          <w:lang w:val="en-GB"/>
        </w:rPr>
        <w:t xml:space="preserve">Activity </w:t>
      </w:r>
      <w:r w:rsidR="009F1A5B" w:rsidRPr="00C830E1">
        <w:rPr>
          <w:lang w:val="en-GB"/>
        </w:rPr>
        <w:t>must</w:t>
      </w:r>
      <w:r w:rsidRPr="00C830E1">
        <w:rPr>
          <w:lang w:val="en-GB"/>
        </w:rPr>
        <w:t xml:space="preserve"> stop due to environmental conditions or resource scarcity</w:t>
      </w:r>
      <w:r w:rsidR="009F1A5B">
        <w:rPr>
          <w:lang w:val="en-GB"/>
        </w:rPr>
        <w:t>.</w:t>
      </w:r>
    </w:p>
    <w:p w14:paraId="12AAF6C2" w14:textId="3BFBEB61" w:rsidR="00B41868" w:rsidRDefault="00B41868">
      <w:pPr>
        <w:tabs>
          <w:tab w:val="clear" w:pos="7100"/>
        </w:tabs>
        <w:spacing w:after="200" w:line="276" w:lineRule="auto"/>
        <w:jc w:val="left"/>
      </w:pPr>
      <w:r>
        <w:t xml:space="preserve">The severity criteria has been specifically defined for this type of assessment, the </w:t>
      </w:r>
      <w:r w:rsidR="004F2928">
        <w:t xml:space="preserve">levels are defined based on the potential Key Risks described in public references (IPCC, </w:t>
      </w:r>
      <w:proofErr w:type="gramStart"/>
      <w:r w:rsidR="004F2928">
        <w:t>2023)</w:t>
      </w:r>
      <w:r w:rsidR="00E11C60">
        <w:t>(</w:t>
      </w:r>
      <w:proofErr w:type="gramEnd"/>
      <w:r w:rsidR="00E11C60">
        <w:t>IPCC, 2022)</w:t>
      </w:r>
    </w:p>
    <w:p w14:paraId="7E355EC0" w14:textId="0871D953" w:rsidR="00B41868" w:rsidRDefault="00B41868">
      <w:pPr>
        <w:tabs>
          <w:tab w:val="clear" w:pos="7100"/>
        </w:tabs>
        <w:spacing w:after="200" w:line="276" w:lineRule="auto"/>
        <w:jc w:val="left"/>
        <w:rPr>
          <w:b/>
          <w:lang w:val="en-US"/>
        </w:rPr>
      </w:pPr>
      <w:r>
        <w:br w:type="page"/>
      </w:r>
    </w:p>
    <w:p w14:paraId="435E2DC2" w14:textId="03416110" w:rsidR="00DB7099" w:rsidRDefault="00DB7099" w:rsidP="008D1911">
      <w:pPr>
        <w:pStyle w:val="CETheadingx"/>
      </w:pPr>
      <w:r>
        <w:lastRenderedPageBreak/>
        <w:t>Climate impact</w:t>
      </w:r>
    </w:p>
    <w:p w14:paraId="776DA1B5" w14:textId="730A17D4" w:rsidR="008D1911" w:rsidRDefault="008D1911" w:rsidP="008D1911">
      <w:pPr>
        <w:pStyle w:val="CETBodytext"/>
      </w:pPr>
      <w:r>
        <w:t>Finally, the climate impact is defined as a function between the Confidence Factor and the Severity.</w:t>
      </w:r>
    </w:p>
    <w:p w14:paraId="0E1BB01F" w14:textId="37D90B57" w:rsidR="00A60E07" w:rsidRDefault="00A60E07" w:rsidP="008D1911">
      <w:pPr>
        <w:pStyle w:val="CETBodytext"/>
      </w:pPr>
      <w:r>
        <w:t xml:space="preserve">As there are 5 levels of Confidence Factor and 4 </w:t>
      </w:r>
      <w:proofErr w:type="gramStart"/>
      <w:r>
        <w:t>level</w:t>
      </w:r>
      <w:proofErr w:type="gramEnd"/>
      <w:r>
        <w:t xml:space="preserve"> of Severity, there </w:t>
      </w:r>
      <w:r w:rsidR="00013390">
        <w:t xml:space="preserve">are </w:t>
      </w:r>
      <w:r>
        <w:t>20</w:t>
      </w:r>
      <w:r w:rsidR="00013390">
        <w:t xml:space="preserve"> possible combinations.</w:t>
      </w:r>
    </w:p>
    <w:p w14:paraId="105BC0D8" w14:textId="0EDC9BDA" w:rsidR="00E2232B" w:rsidRDefault="00013390" w:rsidP="008D1911">
      <w:pPr>
        <w:pStyle w:val="CETBodytext"/>
      </w:pPr>
      <w:r>
        <w:t>In this sense, 5 impact levels have been defined:</w:t>
      </w:r>
    </w:p>
    <w:p w14:paraId="47505DC4" w14:textId="77777777" w:rsidR="002811C2" w:rsidRPr="008D1911" w:rsidRDefault="002811C2" w:rsidP="002811C2">
      <w:pPr>
        <w:pStyle w:val="CETBodytext"/>
        <w:numPr>
          <w:ilvl w:val="0"/>
          <w:numId w:val="32"/>
        </w:numPr>
        <w:rPr>
          <w:lang w:val="en-GB"/>
        </w:rPr>
      </w:pPr>
      <w:r w:rsidRPr="008D1911">
        <w:rPr>
          <w:lang w:val="en-GB"/>
        </w:rPr>
        <w:t xml:space="preserve">Acceptable Climate Impact: if the Climate Impact is in this area, </w:t>
      </w:r>
      <w:proofErr w:type="gramStart"/>
      <w:r w:rsidRPr="008D1911">
        <w:rPr>
          <w:lang w:val="en-GB"/>
        </w:rPr>
        <w:t>No</w:t>
      </w:r>
      <w:proofErr w:type="gramEnd"/>
      <w:r w:rsidRPr="008D1911">
        <w:rPr>
          <w:lang w:val="en-GB"/>
        </w:rPr>
        <w:t xml:space="preserve"> actions are required.</w:t>
      </w:r>
    </w:p>
    <w:p w14:paraId="291C8CC0" w14:textId="25D93240" w:rsidR="002811C2" w:rsidRDefault="002811C2" w:rsidP="002811C2">
      <w:pPr>
        <w:pStyle w:val="CETBodytext"/>
        <w:numPr>
          <w:ilvl w:val="0"/>
          <w:numId w:val="32"/>
        </w:numPr>
        <w:rPr>
          <w:lang w:val="en-GB"/>
        </w:rPr>
      </w:pPr>
      <w:r w:rsidRPr="008D1911">
        <w:rPr>
          <w:lang w:val="en-GB"/>
        </w:rPr>
        <w:t>Awareness on Climate Impact: if the Climate Impact is in this area, the evolution of forecasts and conditions shall be tracked, and potential solutions identified.</w:t>
      </w:r>
    </w:p>
    <w:p w14:paraId="24EE34F1" w14:textId="0760CCC7" w:rsidR="002811C2" w:rsidRPr="002811C2" w:rsidRDefault="002811C2" w:rsidP="002811C2">
      <w:pPr>
        <w:pStyle w:val="CETBodytext"/>
        <w:numPr>
          <w:ilvl w:val="0"/>
          <w:numId w:val="32"/>
        </w:numPr>
        <w:rPr>
          <w:lang w:val="en-GB"/>
        </w:rPr>
      </w:pPr>
      <w:r w:rsidRPr="008D1911">
        <w:rPr>
          <w:lang w:val="en-GB"/>
        </w:rPr>
        <w:t xml:space="preserve">Lower Priority Climate Impact: if the Climate Impact is in this area, Solutions to lower the potential impact should be selected &amp; planned. </w:t>
      </w:r>
    </w:p>
    <w:p w14:paraId="6171B660" w14:textId="77777777" w:rsidR="002811C2" w:rsidRPr="008D1911" w:rsidRDefault="002811C2" w:rsidP="002811C2">
      <w:pPr>
        <w:pStyle w:val="CETBodytext"/>
        <w:numPr>
          <w:ilvl w:val="0"/>
          <w:numId w:val="32"/>
        </w:numPr>
        <w:rPr>
          <w:lang w:val="en-GB"/>
        </w:rPr>
      </w:pPr>
      <w:r w:rsidRPr="008D1911">
        <w:rPr>
          <w:lang w:val="en-GB"/>
        </w:rPr>
        <w:t>Higher Priority Climate Impact: if the Climate Impact is in this area, Solutions to lower the potential impact must be implemented.</w:t>
      </w:r>
    </w:p>
    <w:p w14:paraId="6951F14D" w14:textId="1236D228" w:rsidR="002811C2" w:rsidRPr="008D1911" w:rsidRDefault="008D1911" w:rsidP="002811C2">
      <w:pPr>
        <w:pStyle w:val="CETBodytext"/>
        <w:numPr>
          <w:ilvl w:val="0"/>
          <w:numId w:val="32"/>
        </w:numPr>
        <w:rPr>
          <w:lang w:val="en-GB"/>
        </w:rPr>
      </w:pPr>
      <w:r w:rsidRPr="008D1911">
        <w:rPr>
          <w:lang w:val="en-GB"/>
        </w:rPr>
        <w:t>Not acceptable Climate Impact: if the Climate Impact is in this area, the operations and processes must be stopped. The Climate Impact assessment will be reviewed</w:t>
      </w:r>
      <w:r w:rsidR="006573F9">
        <w:rPr>
          <w:lang w:val="en-GB"/>
        </w:rPr>
        <w:t xml:space="preserve"> by the top management</w:t>
      </w:r>
      <w:r w:rsidRPr="008D1911">
        <w:rPr>
          <w:lang w:val="en-GB"/>
        </w:rPr>
        <w:t>, and a decision will be taken.</w:t>
      </w:r>
    </w:p>
    <w:p w14:paraId="454E4F11" w14:textId="7F253773" w:rsidR="008D1911" w:rsidRDefault="00E2232B" w:rsidP="008D1911">
      <w:pPr>
        <w:pStyle w:val="CETBodytext"/>
      </w:pPr>
      <w:r>
        <w:t>The</w:t>
      </w:r>
      <w:r w:rsidR="006573F9">
        <w:t xml:space="preserve"> climate impact value is determined in accordance with the following matrix</w:t>
      </w:r>
      <w:r>
        <w:t>:</w:t>
      </w:r>
    </w:p>
    <w:p w14:paraId="2E75167A" w14:textId="0C8F258D" w:rsidR="0064694A" w:rsidRPr="008D1911" w:rsidRDefault="00806371" w:rsidP="008D1911">
      <w:pPr>
        <w:pStyle w:val="CETBodytext"/>
      </w:pPr>
      <w:r w:rsidRPr="00806371">
        <w:rPr>
          <w:noProof/>
        </w:rPr>
        <w:drawing>
          <wp:inline distT="0" distB="0" distL="0" distR="0" wp14:anchorId="6AA0598D" wp14:editId="0734E0D0">
            <wp:extent cx="2405855" cy="2110154"/>
            <wp:effectExtent l="0" t="0" r="0" b="0"/>
            <wp:docPr id="2036300527" name="Picture 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00527" name="Picture 1" descr="A graph of a number of numbers&#10;&#10;Description automatically generated with medium confidence"/>
                    <pic:cNvPicPr/>
                  </pic:nvPicPr>
                  <pic:blipFill>
                    <a:blip r:embed="rId10">
                      <a:clrChange>
                        <a:clrFrom>
                          <a:srgbClr val="EBF6FC"/>
                        </a:clrFrom>
                        <a:clrTo>
                          <a:srgbClr val="EBF6FC">
                            <a:alpha val="0"/>
                          </a:srgbClr>
                        </a:clrTo>
                      </a:clrChange>
                    </a:blip>
                    <a:stretch>
                      <a:fillRect/>
                    </a:stretch>
                  </pic:blipFill>
                  <pic:spPr>
                    <a:xfrm>
                      <a:off x="0" y="0"/>
                      <a:ext cx="2432158" cy="2133224"/>
                    </a:xfrm>
                    <a:prstGeom prst="rect">
                      <a:avLst/>
                    </a:prstGeom>
                  </pic:spPr>
                </pic:pic>
              </a:graphicData>
            </a:graphic>
          </wp:inline>
        </w:drawing>
      </w:r>
    </w:p>
    <w:p w14:paraId="59867B0A" w14:textId="04EADF42" w:rsidR="0064694A" w:rsidRDefault="0064694A" w:rsidP="0064694A">
      <w:pPr>
        <w:pStyle w:val="CETBodytext"/>
        <w:rPr>
          <w:rStyle w:val="CETCaptionCarattere"/>
        </w:rPr>
      </w:pPr>
      <w:r w:rsidRPr="00FE7AAA">
        <w:rPr>
          <w:rStyle w:val="CETCaptionCarattere"/>
        </w:rPr>
        <w:t xml:space="preserve">Figure </w:t>
      </w:r>
      <w:r w:rsidR="00950F09">
        <w:rPr>
          <w:rStyle w:val="CETCaptionCarattere"/>
        </w:rPr>
        <w:t>1</w:t>
      </w:r>
      <w:r w:rsidRPr="00FE7AAA">
        <w:rPr>
          <w:rStyle w:val="CETCaptionCarattere"/>
        </w:rPr>
        <w:t xml:space="preserve">: </w:t>
      </w:r>
      <w:r w:rsidR="002811C2">
        <w:rPr>
          <w:rStyle w:val="CETCaptionCarattere"/>
        </w:rPr>
        <w:t>Climate Impact Matrix Criteria</w:t>
      </w:r>
    </w:p>
    <w:p w14:paraId="3089294C" w14:textId="0D9FE47E" w:rsidR="00BD4A5F" w:rsidRDefault="00BD4A5F" w:rsidP="00A63E0A">
      <w:pPr>
        <w:pStyle w:val="CETHeading1"/>
      </w:pPr>
      <w:r>
        <w:t>Climate Resilience Con</w:t>
      </w:r>
      <w:r w:rsidR="00A63E0A">
        <w:t>dition</w:t>
      </w:r>
    </w:p>
    <w:p w14:paraId="3E820900" w14:textId="0D4DEF65" w:rsidR="00A63E0A" w:rsidRPr="00A63E0A" w:rsidRDefault="00A63E0A" w:rsidP="00A63E0A">
      <w:pPr>
        <w:pStyle w:val="CETBodytext"/>
      </w:pPr>
      <w:r>
        <w:t>The last step of the assessment is to determine the climate resilience conditio</w:t>
      </w:r>
      <w:r w:rsidR="00C02EB6">
        <w:t>n</w:t>
      </w:r>
      <w:r w:rsidR="006573F9">
        <w:t xml:space="preserve">, meaning how prepared are the sites to </w:t>
      </w:r>
      <w:r w:rsidR="00895FB3">
        <w:t>stand the scenarios and impact levels determined.</w:t>
      </w:r>
    </w:p>
    <w:p w14:paraId="1808EA0C" w14:textId="2A918A35" w:rsidR="00C070AD" w:rsidRDefault="00C070AD" w:rsidP="00BB3C9B">
      <w:pPr>
        <w:pStyle w:val="CETheadingx"/>
      </w:pPr>
      <w:r>
        <w:t>Actions</w:t>
      </w:r>
    </w:p>
    <w:p w14:paraId="0AA6A477" w14:textId="77777777" w:rsidR="009E0E02" w:rsidRDefault="00895FB3" w:rsidP="009E0E02">
      <w:pPr>
        <w:pStyle w:val="CETBodytext"/>
      </w:pPr>
      <w:r>
        <w:t xml:space="preserve">To </w:t>
      </w:r>
      <w:r w:rsidR="00D274DA">
        <w:t xml:space="preserve">assess the climate resilience condition, the first step is to identify all the actions that need to be in place to </w:t>
      </w:r>
      <w:r w:rsidR="009F5D53" w:rsidRPr="009F5D53">
        <w:t>ensure proper preparedness and enhance resilience.</w:t>
      </w:r>
    </w:p>
    <w:p w14:paraId="31D61A24" w14:textId="2EE10C6E" w:rsidR="006E7B12" w:rsidRPr="009F5D53" w:rsidRDefault="006E7B12" w:rsidP="009E0E02">
      <w:pPr>
        <w:pStyle w:val="CETBodytext"/>
        <w:rPr>
          <w:lang w:val="en-GB"/>
        </w:rPr>
      </w:pPr>
      <w:r w:rsidRPr="009F5D53">
        <w:rPr>
          <w:lang w:val="en-GB"/>
        </w:rPr>
        <w:t>These actions may include:</w:t>
      </w:r>
    </w:p>
    <w:p w14:paraId="7DB59BA2" w14:textId="1765B003" w:rsidR="006E7B12" w:rsidRPr="009F5D53" w:rsidRDefault="006E7B12" w:rsidP="006E7B12">
      <w:pPr>
        <w:pStyle w:val="CETBodytext"/>
        <w:numPr>
          <w:ilvl w:val="0"/>
          <w:numId w:val="29"/>
        </w:numPr>
        <w:rPr>
          <w:lang w:val="en-GB"/>
        </w:rPr>
      </w:pPr>
      <w:r w:rsidRPr="009F5D53">
        <w:rPr>
          <w:lang w:val="en-GB"/>
        </w:rPr>
        <w:t>Infrastructure improvements or reinforcements</w:t>
      </w:r>
      <w:r w:rsidR="003A62B2">
        <w:rPr>
          <w:lang w:val="en-GB"/>
        </w:rPr>
        <w:t>.</w:t>
      </w:r>
    </w:p>
    <w:p w14:paraId="3B209DC6" w14:textId="6151BA51" w:rsidR="006E7B12" w:rsidRPr="009F5D53" w:rsidRDefault="006E7B12" w:rsidP="006E7B12">
      <w:pPr>
        <w:pStyle w:val="CETBodytext"/>
        <w:numPr>
          <w:ilvl w:val="0"/>
          <w:numId w:val="29"/>
        </w:numPr>
        <w:rPr>
          <w:lang w:val="en-GB"/>
        </w:rPr>
      </w:pPr>
      <w:r w:rsidRPr="009F5D53">
        <w:rPr>
          <w:lang w:val="en-GB"/>
        </w:rPr>
        <w:t>Updates to emergency response plans</w:t>
      </w:r>
      <w:r w:rsidR="003A62B2">
        <w:rPr>
          <w:lang w:val="en-GB"/>
        </w:rPr>
        <w:t>.</w:t>
      </w:r>
    </w:p>
    <w:p w14:paraId="6D517B96" w14:textId="0E620475" w:rsidR="006E7B12" w:rsidRPr="009F5D53" w:rsidRDefault="006E7B12" w:rsidP="006E7B12">
      <w:pPr>
        <w:pStyle w:val="CETBodytext"/>
        <w:numPr>
          <w:ilvl w:val="0"/>
          <w:numId w:val="29"/>
        </w:numPr>
        <w:rPr>
          <w:lang w:val="en-GB"/>
        </w:rPr>
      </w:pPr>
      <w:r w:rsidRPr="009F5D53">
        <w:rPr>
          <w:lang w:val="en-GB"/>
        </w:rPr>
        <w:t>Staff training and capacity building</w:t>
      </w:r>
      <w:r w:rsidR="003A62B2">
        <w:rPr>
          <w:lang w:val="en-GB"/>
        </w:rPr>
        <w:t>.</w:t>
      </w:r>
    </w:p>
    <w:p w14:paraId="69FF0E58" w14:textId="2EBFC7D5" w:rsidR="006E7B12" w:rsidRPr="009F5D53" w:rsidRDefault="006E7B12" w:rsidP="006E7B12">
      <w:pPr>
        <w:pStyle w:val="CETBodytext"/>
        <w:numPr>
          <w:ilvl w:val="0"/>
          <w:numId w:val="29"/>
        </w:numPr>
        <w:rPr>
          <w:lang w:val="en-GB"/>
        </w:rPr>
      </w:pPr>
      <w:r w:rsidRPr="009F5D53">
        <w:rPr>
          <w:lang w:val="en-GB"/>
        </w:rPr>
        <w:t>Implementation of new technologies or systems</w:t>
      </w:r>
      <w:r w:rsidR="003A62B2">
        <w:rPr>
          <w:lang w:val="en-GB"/>
        </w:rPr>
        <w:t>.</w:t>
      </w:r>
    </w:p>
    <w:p w14:paraId="78D632B0" w14:textId="4012DD47" w:rsidR="006E7B12" w:rsidRPr="009F5D53" w:rsidRDefault="006E7B12" w:rsidP="006E7B12">
      <w:pPr>
        <w:pStyle w:val="CETBodytext"/>
        <w:numPr>
          <w:ilvl w:val="0"/>
          <w:numId w:val="29"/>
        </w:numPr>
        <w:rPr>
          <w:lang w:val="en-GB"/>
        </w:rPr>
      </w:pPr>
      <w:r w:rsidRPr="009F5D53">
        <w:rPr>
          <w:lang w:val="en-GB"/>
        </w:rPr>
        <w:t>Revision of operational procedures</w:t>
      </w:r>
      <w:r w:rsidR="003A62B2">
        <w:rPr>
          <w:lang w:val="en-GB"/>
        </w:rPr>
        <w:t>.</w:t>
      </w:r>
    </w:p>
    <w:p w14:paraId="4C637948" w14:textId="7D79ADF0" w:rsidR="006E7B12" w:rsidRPr="009F5D53" w:rsidRDefault="006E7B12" w:rsidP="006E7B12">
      <w:pPr>
        <w:pStyle w:val="CETBodytext"/>
        <w:numPr>
          <w:ilvl w:val="0"/>
          <w:numId w:val="29"/>
        </w:numPr>
        <w:rPr>
          <w:lang w:val="en-GB"/>
        </w:rPr>
      </w:pPr>
      <w:r w:rsidRPr="009F5D53">
        <w:rPr>
          <w:lang w:val="en-GB"/>
        </w:rPr>
        <w:t>Development of partnerships</w:t>
      </w:r>
      <w:r w:rsidR="003A62B2">
        <w:rPr>
          <w:lang w:val="en-GB"/>
        </w:rPr>
        <w:t xml:space="preserve"> to improve the resilience in the area where the site is located.</w:t>
      </w:r>
    </w:p>
    <w:p w14:paraId="1F309600" w14:textId="5261FC98" w:rsidR="006E7B12" w:rsidRDefault="006E7B12" w:rsidP="006E7B12">
      <w:pPr>
        <w:pStyle w:val="CETBodytext"/>
      </w:pPr>
      <w:r w:rsidRPr="009F5D53">
        <w:t xml:space="preserve">Each action will be clearly outlined, including its objectives, required resources, timeline for implementation, and expected outcomes. </w:t>
      </w:r>
    </w:p>
    <w:p w14:paraId="10510CAD" w14:textId="672157C6" w:rsidR="00F47007" w:rsidRDefault="00F47007" w:rsidP="00F47007">
      <w:pPr>
        <w:pStyle w:val="CETBodytext"/>
      </w:pPr>
      <w:r>
        <w:t>Once the actions are identified the status of each of them is assessed according to the following criteria:</w:t>
      </w:r>
    </w:p>
    <w:p w14:paraId="4E59E293" w14:textId="77777777" w:rsidR="00F47007" w:rsidRPr="00F47007" w:rsidRDefault="00F47007" w:rsidP="00F47007">
      <w:pPr>
        <w:pStyle w:val="CETBodytext"/>
        <w:numPr>
          <w:ilvl w:val="0"/>
          <w:numId w:val="33"/>
        </w:numPr>
        <w:rPr>
          <w:lang w:val="en-GB"/>
        </w:rPr>
      </w:pPr>
      <w:r w:rsidRPr="00F47007">
        <w:rPr>
          <w:lang w:val="en-GB"/>
        </w:rPr>
        <w:t>Action not started</w:t>
      </w:r>
    </w:p>
    <w:p w14:paraId="6955ED87" w14:textId="77777777" w:rsidR="00F47007" w:rsidRPr="00F47007" w:rsidRDefault="00F47007" w:rsidP="00F47007">
      <w:pPr>
        <w:pStyle w:val="CETBodytext"/>
        <w:numPr>
          <w:ilvl w:val="0"/>
          <w:numId w:val="33"/>
        </w:numPr>
        <w:rPr>
          <w:lang w:val="en-GB"/>
        </w:rPr>
      </w:pPr>
      <w:r w:rsidRPr="00F47007">
        <w:rPr>
          <w:lang w:val="en-GB"/>
        </w:rPr>
        <w:t>Potential solutions identified</w:t>
      </w:r>
    </w:p>
    <w:p w14:paraId="208642DD" w14:textId="77777777" w:rsidR="00F47007" w:rsidRPr="00F47007" w:rsidRDefault="00F47007" w:rsidP="00F47007">
      <w:pPr>
        <w:pStyle w:val="CETBodytext"/>
        <w:numPr>
          <w:ilvl w:val="0"/>
          <w:numId w:val="33"/>
        </w:numPr>
        <w:rPr>
          <w:lang w:val="en-GB"/>
        </w:rPr>
      </w:pPr>
      <w:r w:rsidRPr="00F47007">
        <w:rPr>
          <w:lang w:val="en-GB"/>
        </w:rPr>
        <w:t>Solution selected &amp; planned</w:t>
      </w:r>
    </w:p>
    <w:p w14:paraId="59BFE490" w14:textId="77777777" w:rsidR="00F47007" w:rsidRPr="00F47007" w:rsidRDefault="00F47007" w:rsidP="00F47007">
      <w:pPr>
        <w:pStyle w:val="CETBodytext"/>
        <w:numPr>
          <w:ilvl w:val="0"/>
          <w:numId w:val="33"/>
        </w:numPr>
        <w:rPr>
          <w:lang w:val="en-GB"/>
        </w:rPr>
      </w:pPr>
      <w:r w:rsidRPr="00F47007">
        <w:rPr>
          <w:lang w:val="en-GB"/>
        </w:rPr>
        <w:t>Solution implemented</w:t>
      </w:r>
    </w:p>
    <w:p w14:paraId="31B03EB5" w14:textId="77777777" w:rsidR="00F47007" w:rsidRDefault="00F47007" w:rsidP="00F47007">
      <w:pPr>
        <w:pStyle w:val="CETBodytext"/>
        <w:numPr>
          <w:ilvl w:val="0"/>
          <w:numId w:val="33"/>
        </w:numPr>
        <w:rPr>
          <w:lang w:val="en-GB"/>
        </w:rPr>
      </w:pPr>
      <w:r w:rsidRPr="00F47007">
        <w:rPr>
          <w:lang w:val="en-GB"/>
        </w:rPr>
        <w:t>Activity/task stopped</w:t>
      </w:r>
    </w:p>
    <w:p w14:paraId="4EB21668" w14:textId="7994043B" w:rsidR="00F47007" w:rsidRPr="00F47007" w:rsidRDefault="00F47007" w:rsidP="00F47007">
      <w:pPr>
        <w:pStyle w:val="CETBodytext"/>
        <w:rPr>
          <w:lang w:val="en-GB"/>
        </w:rPr>
      </w:pPr>
      <w:r>
        <w:rPr>
          <w:lang w:val="en-GB"/>
        </w:rPr>
        <w:lastRenderedPageBreak/>
        <w:t>The risk assessment template also allows t</w:t>
      </w:r>
      <w:r w:rsidR="0050290B">
        <w:rPr>
          <w:lang w:val="en-GB"/>
        </w:rPr>
        <w:t>he</w:t>
      </w:r>
      <w:r>
        <w:rPr>
          <w:lang w:val="en-GB"/>
        </w:rPr>
        <w:t xml:space="preserve"> </w:t>
      </w:r>
      <w:r w:rsidR="0050290B">
        <w:rPr>
          <w:lang w:val="en-GB"/>
        </w:rPr>
        <w:t>introduction of the potential</w:t>
      </w:r>
      <w:r w:rsidR="00E23A32">
        <w:rPr>
          <w:lang w:val="en-GB"/>
        </w:rPr>
        <w:t xml:space="preserve"> options </w:t>
      </w:r>
      <w:r w:rsidR="0050290B">
        <w:rPr>
          <w:lang w:val="en-GB"/>
        </w:rPr>
        <w:t xml:space="preserve">to </w:t>
      </w:r>
      <w:r w:rsidR="00E23A32">
        <w:rPr>
          <w:lang w:val="en-GB"/>
        </w:rPr>
        <w:t xml:space="preserve">implement </w:t>
      </w:r>
      <w:r w:rsidR="0050290B">
        <w:rPr>
          <w:lang w:val="en-GB"/>
        </w:rPr>
        <w:t>the action, their cost estimation, and the budget year in which they are aimed to be executed.</w:t>
      </w:r>
    </w:p>
    <w:p w14:paraId="56507AA5" w14:textId="576A9DEC" w:rsidR="006E7B12" w:rsidRDefault="006E7B12" w:rsidP="006E7B12">
      <w:pPr>
        <w:pStyle w:val="CETheadingx"/>
      </w:pPr>
      <w:r>
        <w:t>Resilience condition</w:t>
      </w:r>
    </w:p>
    <w:p w14:paraId="28A0E38A" w14:textId="01FA4DD2" w:rsidR="005913A7" w:rsidRDefault="007E676D" w:rsidP="005913A7">
      <w:pPr>
        <w:pStyle w:val="CETBodytext"/>
        <w:rPr>
          <w:lang w:val="en-GB"/>
        </w:rPr>
      </w:pPr>
      <w:r>
        <w:rPr>
          <w:lang w:val="en-GB"/>
        </w:rPr>
        <w:t>Finally</w:t>
      </w:r>
      <w:r w:rsidR="004A62E9">
        <w:rPr>
          <w:lang w:val="en-GB"/>
        </w:rPr>
        <w:t>,</w:t>
      </w:r>
      <w:r>
        <w:rPr>
          <w:lang w:val="en-GB"/>
        </w:rPr>
        <w:t xml:space="preserve"> the resilience condition is calculated </w:t>
      </w:r>
      <w:r w:rsidR="00074CFC">
        <w:rPr>
          <w:lang w:val="en-GB"/>
        </w:rPr>
        <w:t xml:space="preserve">for each climate impact </w:t>
      </w:r>
      <w:r>
        <w:rPr>
          <w:lang w:val="en-GB"/>
        </w:rPr>
        <w:t xml:space="preserve">as the </w:t>
      </w:r>
      <w:r w:rsidR="007A58D5">
        <w:rPr>
          <w:lang w:val="en-GB"/>
        </w:rPr>
        <w:t xml:space="preserve">average </w:t>
      </w:r>
      <w:r w:rsidR="005913A7">
        <w:rPr>
          <w:lang w:val="en-GB"/>
        </w:rPr>
        <w:t>difference</w:t>
      </w:r>
      <w:r w:rsidR="005F0F1B">
        <w:rPr>
          <w:lang w:val="en-GB"/>
        </w:rPr>
        <w:t xml:space="preserve"> between the Climate Impact Value and the </w:t>
      </w:r>
      <w:r w:rsidR="005F0F1B" w:rsidRPr="0000011F">
        <w:rPr>
          <w:lang w:val="en-GB"/>
        </w:rPr>
        <w:t xml:space="preserve">average </w:t>
      </w:r>
      <w:r w:rsidR="00131E8A">
        <w:rPr>
          <w:lang w:val="en-GB"/>
        </w:rPr>
        <w:t xml:space="preserve">value of Action </w:t>
      </w:r>
      <w:r w:rsidR="005F0F1B" w:rsidRPr="0000011F">
        <w:rPr>
          <w:lang w:val="en-GB"/>
        </w:rPr>
        <w:t>Status</w:t>
      </w:r>
      <w:r w:rsidR="004A62E9">
        <w:rPr>
          <w:lang w:val="en-GB"/>
        </w:rPr>
        <w:t>.</w:t>
      </w:r>
    </w:p>
    <w:p w14:paraId="79849CF2" w14:textId="77777777" w:rsidR="005913A7" w:rsidRDefault="005913A7" w:rsidP="005913A7">
      <w:pPr>
        <w:pStyle w:val="CETBodytext"/>
        <w:rPr>
          <w:lang w:val="en-GB"/>
        </w:rPr>
      </w:pPr>
    </w:p>
    <w:p w14:paraId="0B6027BC" w14:textId="0707D0BA" w:rsidR="005913A7" w:rsidRDefault="0080538E" w:rsidP="00CA1C70">
      <w:pPr>
        <w:pStyle w:val="CETBodytext"/>
        <w:tabs>
          <w:tab w:val="clear" w:pos="7100"/>
          <w:tab w:val="right" w:pos="8730"/>
        </w:tabs>
        <w:rPr>
          <w:lang w:val="en-GB"/>
        </w:rPr>
      </w:pPr>
      <w:r w:rsidRPr="0080538E">
        <w:rPr>
          <w:lang w:val="en-GB"/>
        </w:rPr>
        <w:drawing>
          <wp:inline distT="0" distB="0" distL="0" distR="0" wp14:anchorId="1CE06EA4" wp14:editId="3BE7F54D">
            <wp:extent cx="2661454" cy="351692"/>
            <wp:effectExtent l="0" t="0" r="0" b="0"/>
            <wp:docPr id="68286597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65972" name="Picture 1" descr="A black text on a white background&#10;&#10;AI-generated content may be incorrect."/>
                    <pic:cNvPicPr/>
                  </pic:nvPicPr>
                  <pic:blipFill>
                    <a:blip r:embed="rId11"/>
                    <a:stretch>
                      <a:fillRect/>
                    </a:stretch>
                  </pic:blipFill>
                  <pic:spPr>
                    <a:xfrm>
                      <a:off x="0" y="0"/>
                      <a:ext cx="2661454" cy="351692"/>
                    </a:xfrm>
                    <a:prstGeom prst="rect">
                      <a:avLst/>
                    </a:prstGeom>
                  </pic:spPr>
                </pic:pic>
              </a:graphicData>
            </a:graphic>
          </wp:inline>
        </w:drawing>
      </w:r>
      <w:r w:rsidR="00CA1C70">
        <w:rPr>
          <w:lang w:val="en-GB"/>
        </w:rPr>
        <w:tab/>
        <w:t>(1)</w:t>
      </w:r>
    </w:p>
    <w:p w14:paraId="0B9737DD" w14:textId="77777777" w:rsidR="0080538E" w:rsidRDefault="0080538E" w:rsidP="0000011F">
      <w:pPr>
        <w:pStyle w:val="CETBodytext"/>
        <w:rPr>
          <w:lang w:val="en-GB"/>
        </w:rPr>
      </w:pPr>
    </w:p>
    <w:p w14:paraId="6882AF17" w14:textId="42DBF559" w:rsidR="0000011F" w:rsidRDefault="0000011F" w:rsidP="0000011F">
      <w:pPr>
        <w:pStyle w:val="CETBodytext"/>
        <w:rPr>
          <w:lang w:val="en-GB"/>
        </w:rPr>
      </w:pPr>
      <w:r w:rsidRPr="0000011F">
        <w:rPr>
          <w:lang w:val="en-GB"/>
        </w:rPr>
        <w:t>The resilience condition</w:t>
      </w:r>
      <w:r w:rsidR="002F760F">
        <w:rPr>
          <w:lang w:val="en-GB"/>
        </w:rPr>
        <w:t xml:space="preserve">, in a sense, </w:t>
      </w:r>
      <w:r w:rsidRPr="0000011F">
        <w:rPr>
          <w:lang w:val="en-GB"/>
        </w:rPr>
        <w:t xml:space="preserve">describes </w:t>
      </w:r>
      <w:r w:rsidR="002F760F">
        <w:rPr>
          <w:lang w:val="en-GB"/>
        </w:rPr>
        <w:t>the</w:t>
      </w:r>
      <w:r w:rsidRPr="0000011F">
        <w:rPr>
          <w:lang w:val="en-GB"/>
        </w:rPr>
        <w:t xml:space="preserve"> level of readiness </w:t>
      </w:r>
      <w:r w:rsidR="002F760F">
        <w:rPr>
          <w:lang w:val="en-GB"/>
        </w:rPr>
        <w:t xml:space="preserve">to face the </w:t>
      </w:r>
      <w:r w:rsidR="007613BD">
        <w:rPr>
          <w:lang w:val="en-GB"/>
        </w:rPr>
        <w:t>expected impact</w:t>
      </w:r>
      <w:r w:rsidR="009A2451">
        <w:rPr>
          <w:lang w:val="en-GB"/>
        </w:rPr>
        <w:t>,</w:t>
      </w:r>
      <w:r w:rsidR="007613BD">
        <w:rPr>
          <w:lang w:val="en-GB"/>
        </w:rPr>
        <w:t xml:space="preserve"> including its level of certainty.</w:t>
      </w:r>
    </w:p>
    <w:p w14:paraId="208F7A9D" w14:textId="77777777" w:rsidR="00743B77" w:rsidRDefault="00743B77" w:rsidP="0000011F">
      <w:pPr>
        <w:pStyle w:val="CETBodytext"/>
        <w:rPr>
          <w:lang w:val="en-GB"/>
        </w:rPr>
      </w:pPr>
    </w:p>
    <w:p w14:paraId="31C4A3D5" w14:textId="45AF6B10" w:rsidR="0000011F" w:rsidRDefault="00AB455E" w:rsidP="0000011F">
      <w:pPr>
        <w:pStyle w:val="CETBodytext"/>
        <w:rPr>
          <w:lang w:val="en-GB"/>
        </w:rPr>
      </w:pPr>
      <w:r>
        <w:rPr>
          <w:lang w:val="en-GB"/>
        </w:rPr>
        <w:t>T</w:t>
      </w:r>
      <w:r w:rsidR="007613BD">
        <w:rPr>
          <w:lang w:val="en-GB"/>
        </w:rPr>
        <w:t>he r</w:t>
      </w:r>
      <w:r w:rsidR="0000011F" w:rsidRPr="0000011F">
        <w:rPr>
          <w:lang w:val="en-GB"/>
        </w:rPr>
        <w:t xml:space="preserve">esilience </w:t>
      </w:r>
      <w:r w:rsidR="007613BD">
        <w:rPr>
          <w:lang w:val="en-GB"/>
        </w:rPr>
        <w:t>c</w:t>
      </w:r>
      <w:r w:rsidR="0000011F" w:rsidRPr="0000011F">
        <w:rPr>
          <w:lang w:val="en-GB"/>
        </w:rPr>
        <w:t xml:space="preserve">ondition </w:t>
      </w:r>
      <w:r>
        <w:rPr>
          <w:lang w:val="en-GB"/>
        </w:rPr>
        <w:t>is rated as follows</w:t>
      </w:r>
      <w:r w:rsidR="00676AA2">
        <w:rPr>
          <w:lang w:val="en-GB"/>
        </w:rPr>
        <w:t>:</w:t>
      </w:r>
    </w:p>
    <w:p w14:paraId="5B59E828" w14:textId="3A67E206" w:rsidR="0090273E" w:rsidRPr="00B57B36" w:rsidRDefault="0090273E" w:rsidP="0090273E">
      <w:pPr>
        <w:pStyle w:val="CETTabletitle"/>
      </w:pPr>
      <w:r w:rsidRPr="00B57B36">
        <w:t xml:space="preserve">Table 1: </w:t>
      </w:r>
      <w:r>
        <w:t xml:space="preserve">Resilience </w:t>
      </w:r>
      <w:r w:rsidR="006E40C5">
        <w:t>Assessment Criteria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60"/>
        <w:gridCol w:w="1860"/>
        <w:gridCol w:w="1860"/>
      </w:tblGrid>
      <w:tr w:rsidR="001D2FD0" w:rsidRPr="00B57B36" w14:paraId="172A787F" w14:textId="77777777" w:rsidTr="0094393D">
        <w:tc>
          <w:tcPr>
            <w:tcW w:w="1860" w:type="dxa"/>
            <w:tcBorders>
              <w:top w:val="single" w:sz="12" w:space="0" w:color="008000"/>
              <w:bottom w:val="single" w:sz="6" w:space="0" w:color="008000"/>
            </w:tcBorders>
            <w:shd w:val="clear" w:color="auto" w:fill="FFFFFF"/>
          </w:tcPr>
          <w:p w14:paraId="232C3A5F" w14:textId="0166FEC5" w:rsidR="001D2FD0" w:rsidRPr="00B57B36" w:rsidRDefault="001D2FD0" w:rsidP="006C2386">
            <w:pPr>
              <w:pStyle w:val="CETBodytext"/>
              <w:jc w:val="left"/>
              <w:rPr>
                <w:lang w:val="en-GB"/>
              </w:rPr>
            </w:pPr>
            <w:r>
              <w:rPr>
                <w:lang w:val="en-GB"/>
              </w:rPr>
              <w:t>Resilience Value</w:t>
            </w:r>
          </w:p>
        </w:tc>
        <w:tc>
          <w:tcPr>
            <w:tcW w:w="1860" w:type="dxa"/>
            <w:tcBorders>
              <w:top w:val="single" w:sz="12" w:space="0" w:color="008000"/>
              <w:bottom w:val="single" w:sz="6" w:space="0" w:color="008000"/>
            </w:tcBorders>
            <w:shd w:val="clear" w:color="auto" w:fill="FFFFFF"/>
          </w:tcPr>
          <w:p w14:paraId="72C8214E" w14:textId="51569451" w:rsidR="001D2FD0" w:rsidRPr="00B57B36" w:rsidRDefault="001D2FD0" w:rsidP="006C2386">
            <w:pPr>
              <w:pStyle w:val="CETBodytext"/>
              <w:jc w:val="left"/>
              <w:rPr>
                <w:lang w:val="en-GB"/>
              </w:rPr>
            </w:pPr>
            <w:r>
              <w:rPr>
                <w:lang w:val="en-GB"/>
              </w:rPr>
              <w:t>Resilience Condition</w:t>
            </w:r>
          </w:p>
        </w:tc>
        <w:tc>
          <w:tcPr>
            <w:tcW w:w="1860" w:type="dxa"/>
            <w:tcBorders>
              <w:top w:val="single" w:sz="12" w:space="0" w:color="008000"/>
              <w:bottom w:val="single" w:sz="6" w:space="0" w:color="008000"/>
            </w:tcBorders>
            <w:shd w:val="clear" w:color="auto" w:fill="FFFFFF"/>
          </w:tcPr>
          <w:p w14:paraId="02B2A287" w14:textId="6E4175D8" w:rsidR="001D2FD0" w:rsidRPr="00B57B36" w:rsidRDefault="001D2FD0" w:rsidP="006C2386">
            <w:pPr>
              <w:pStyle w:val="CETBodytext"/>
              <w:jc w:val="left"/>
              <w:rPr>
                <w:lang w:val="en-GB"/>
              </w:rPr>
            </w:pPr>
            <w:r>
              <w:rPr>
                <w:lang w:val="en-GB"/>
              </w:rPr>
              <w:t>Related Risk Level</w:t>
            </w:r>
          </w:p>
        </w:tc>
      </w:tr>
      <w:tr w:rsidR="005303D7" w:rsidRPr="00B57B36" w14:paraId="127EDA1E" w14:textId="77777777" w:rsidTr="0094393D">
        <w:tc>
          <w:tcPr>
            <w:tcW w:w="1860" w:type="dxa"/>
            <w:tcBorders>
              <w:top w:val="single" w:sz="6" w:space="0" w:color="008000"/>
              <w:bottom w:val="nil"/>
            </w:tcBorders>
            <w:shd w:val="clear" w:color="auto" w:fill="FFFFFF"/>
          </w:tcPr>
          <w:p w14:paraId="25D69825" w14:textId="697FA3B7" w:rsidR="005303D7" w:rsidRPr="0094393D" w:rsidRDefault="005303D7" w:rsidP="006C2386">
            <w:pPr>
              <w:pStyle w:val="CETBodytext"/>
              <w:jc w:val="left"/>
              <w:rPr>
                <w:szCs w:val="18"/>
                <w:lang w:val="en-GB"/>
              </w:rPr>
            </w:pPr>
            <w:r w:rsidRPr="0094393D">
              <w:rPr>
                <w:rFonts w:cs="Arial"/>
                <w:kern w:val="24"/>
                <w:szCs w:val="18"/>
                <w:lang w:val="en-GB"/>
              </w:rPr>
              <w:t>Value &gt; 0.0</w:t>
            </w:r>
          </w:p>
        </w:tc>
        <w:tc>
          <w:tcPr>
            <w:tcW w:w="1860" w:type="dxa"/>
            <w:tcBorders>
              <w:top w:val="single" w:sz="6" w:space="0" w:color="008000"/>
              <w:bottom w:val="nil"/>
            </w:tcBorders>
            <w:shd w:val="clear" w:color="auto" w:fill="FFFFFF"/>
          </w:tcPr>
          <w:p w14:paraId="349788E7" w14:textId="60B89DD6" w:rsidR="005303D7" w:rsidRPr="0094393D" w:rsidRDefault="005303D7" w:rsidP="006C2386">
            <w:pPr>
              <w:pStyle w:val="CETBodytext"/>
              <w:jc w:val="left"/>
              <w:rPr>
                <w:szCs w:val="18"/>
                <w:lang w:val="en-GB"/>
              </w:rPr>
            </w:pPr>
            <w:r w:rsidRPr="0094393D">
              <w:rPr>
                <w:rFonts w:cs="Arial"/>
                <w:kern w:val="24"/>
                <w:szCs w:val="18"/>
                <w:lang w:val="en-GB"/>
              </w:rPr>
              <w:t>Extra Resilient</w:t>
            </w:r>
          </w:p>
        </w:tc>
        <w:tc>
          <w:tcPr>
            <w:tcW w:w="1860" w:type="dxa"/>
            <w:tcBorders>
              <w:top w:val="single" w:sz="6" w:space="0" w:color="008000"/>
              <w:bottom w:val="nil"/>
            </w:tcBorders>
            <w:shd w:val="clear" w:color="auto" w:fill="FFFFFF"/>
          </w:tcPr>
          <w:p w14:paraId="346BC801" w14:textId="258C0C56" w:rsidR="005303D7" w:rsidRPr="0094393D" w:rsidRDefault="005303D7" w:rsidP="006C2386">
            <w:pPr>
              <w:pStyle w:val="CETBodytext"/>
              <w:jc w:val="left"/>
              <w:rPr>
                <w:szCs w:val="18"/>
                <w:lang w:val="en-GB"/>
              </w:rPr>
            </w:pPr>
            <w:r w:rsidRPr="0094393D">
              <w:rPr>
                <w:rFonts w:cs="Arial"/>
                <w:kern w:val="24"/>
                <w:szCs w:val="18"/>
                <w:lang w:val="en-GB"/>
              </w:rPr>
              <w:t>Very Low</w:t>
            </w:r>
          </w:p>
        </w:tc>
      </w:tr>
      <w:tr w:rsidR="005303D7" w:rsidRPr="00B57B36" w14:paraId="0D7A3846" w14:textId="77777777" w:rsidTr="0094393D">
        <w:tc>
          <w:tcPr>
            <w:tcW w:w="1860" w:type="dxa"/>
            <w:tcBorders>
              <w:top w:val="nil"/>
              <w:bottom w:val="nil"/>
            </w:tcBorders>
            <w:shd w:val="clear" w:color="auto" w:fill="FFFFFF"/>
          </w:tcPr>
          <w:p w14:paraId="3BCA8982" w14:textId="08C200CF" w:rsidR="005303D7" w:rsidRPr="0094393D" w:rsidRDefault="005303D7" w:rsidP="006C2386">
            <w:pPr>
              <w:pStyle w:val="CETBodytext"/>
              <w:jc w:val="left"/>
              <w:rPr>
                <w:szCs w:val="18"/>
                <w:lang w:val="en-GB"/>
              </w:rPr>
            </w:pPr>
            <w:r w:rsidRPr="0094393D">
              <w:rPr>
                <w:rFonts w:cs="Arial"/>
                <w:kern w:val="24"/>
                <w:szCs w:val="18"/>
                <w:lang w:val="en-GB"/>
              </w:rPr>
              <w:t>0.0 ≥ Value &gt; -0.5</w:t>
            </w:r>
          </w:p>
        </w:tc>
        <w:tc>
          <w:tcPr>
            <w:tcW w:w="1860" w:type="dxa"/>
            <w:tcBorders>
              <w:top w:val="nil"/>
              <w:bottom w:val="nil"/>
            </w:tcBorders>
            <w:shd w:val="clear" w:color="auto" w:fill="FFFFFF"/>
          </w:tcPr>
          <w:p w14:paraId="640A0994" w14:textId="15A5B635" w:rsidR="005303D7" w:rsidRPr="0094393D" w:rsidRDefault="005303D7" w:rsidP="006C2386">
            <w:pPr>
              <w:pStyle w:val="CETBodytext"/>
              <w:jc w:val="left"/>
              <w:rPr>
                <w:szCs w:val="18"/>
                <w:lang w:val="en-GB"/>
              </w:rPr>
            </w:pPr>
            <w:r w:rsidRPr="0094393D">
              <w:rPr>
                <w:rFonts w:cs="Arial"/>
                <w:kern w:val="24"/>
                <w:szCs w:val="18"/>
                <w:lang w:val="en-GB"/>
              </w:rPr>
              <w:t>Full Resilient</w:t>
            </w:r>
          </w:p>
        </w:tc>
        <w:tc>
          <w:tcPr>
            <w:tcW w:w="1860" w:type="dxa"/>
            <w:tcBorders>
              <w:top w:val="nil"/>
              <w:bottom w:val="nil"/>
            </w:tcBorders>
            <w:shd w:val="clear" w:color="auto" w:fill="FFFFFF"/>
          </w:tcPr>
          <w:p w14:paraId="701E6C4C" w14:textId="114BBACA" w:rsidR="005303D7" w:rsidRPr="0094393D" w:rsidRDefault="005303D7" w:rsidP="006C2386">
            <w:pPr>
              <w:pStyle w:val="CETBodytext"/>
              <w:jc w:val="left"/>
              <w:rPr>
                <w:szCs w:val="18"/>
                <w:lang w:val="en-GB"/>
              </w:rPr>
            </w:pPr>
            <w:r w:rsidRPr="0094393D">
              <w:rPr>
                <w:rFonts w:cs="Arial"/>
                <w:kern w:val="24"/>
                <w:szCs w:val="18"/>
                <w:lang w:val="en-GB"/>
              </w:rPr>
              <w:t>Acceptable</w:t>
            </w:r>
          </w:p>
        </w:tc>
      </w:tr>
      <w:tr w:rsidR="005303D7" w:rsidRPr="00B57B36" w14:paraId="4F6C2570" w14:textId="77777777" w:rsidTr="0094393D">
        <w:tc>
          <w:tcPr>
            <w:tcW w:w="1860" w:type="dxa"/>
            <w:tcBorders>
              <w:top w:val="nil"/>
              <w:bottom w:val="nil"/>
            </w:tcBorders>
            <w:shd w:val="clear" w:color="auto" w:fill="FFFFFF"/>
          </w:tcPr>
          <w:p w14:paraId="1CCB3D93" w14:textId="21499F51" w:rsidR="005303D7" w:rsidRPr="0094393D" w:rsidRDefault="005303D7" w:rsidP="006C2386">
            <w:pPr>
              <w:pStyle w:val="CETBodytext"/>
              <w:jc w:val="left"/>
              <w:rPr>
                <w:szCs w:val="18"/>
                <w:lang w:val="en-GB"/>
              </w:rPr>
            </w:pPr>
            <w:r w:rsidRPr="0094393D">
              <w:rPr>
                <w:rFonts w:cs="Arial"/>
                <w:kern w:val="24"/>
                <w:szCs w:val="18"/>
                <w:lang w:val="en-GB"/>
              </w:rPr>
              <w:t>-0.5 ≥ Value &gt; -1.5</w:t>
            </w:r>
          </w:p>
        </w:tc>
        <w:tc>
          <w:tcPr>
            <w:tcW w:w="1860" w:type="dxa"/>
            <w:tcBorders>
              <w:top w:val="nil"/>
              <w:bottom w:val="nil"/>
            </w:tcBorders>
            <w:shd w:val="clear" w:color="auto" w:fill="FFFFFF"/>
          </w:tcPr>
          <w:p w14:paraId="3C05E347" w14:textId="2071A84A" w:rsidR="005303D7" w:rsidRPr="0094393D" w:rsidRDefault="005303D7" w:rsidP="006C2386">
            <w:pPr>
              <w:pStyle w:val="CETBodytext"/>
              <w:jc w:val="left"/>
              <w:rPr>
                <w:szCs w:val="18"/>
                <w:lang w:val="en-GB"/>
              </w:rPr>
            </w:pPr>
            <w:r w:rsidRPr="0094393D">
              <w:rPr>
                <w:rFonts w:cs="Arial"/>
                <w:kern w:val="24"/>
                <w:szCs w:val="18"/>
                <w:lang w:val="en-GB"/>
              </w:rPr>
              <w:t>Almost Resilient</w:t>
            </w:r>
          </w:p>
        </w:tc>
        <w:tc>
          <w:tcPr>
            <w:tcW w:w="1860" w:type="dxa"/>
            <w:tcBorders>
              <w:top w:val="nil"/>
              <w:bottom w:val="nil"/>
            </w:tcBorders>
            <w:shd w:val="clear" w:color="auto" w:fill="FFFFFF"/>
          </w:tcPr>
          <w:p w14:paraId="48ED0172" w14:textId="19AC4886" w:rsidR="005303D7" w:rsidRPr="0094393D" w:rsidRDefault="005303D7" w:rsidP="006C2386">
            <w:pPr>
              <w:pStyle w:val="CETBodytext"/>
              <w:jc w:val="left"/>
              <w:rPr>
                <w:szCs w:val="18"/>
                <w:lang w:val="en-GB"/>
              </w:rPr>
            </w:pPr>
            <w:r w:rsidRPr="0094393D">
              <w:rPr>
                <w:rFonts w:cs="Arial"/>
                <w:kern w:val="24"/>
                <w:szCs w:val="18"/>
                <w:lang w:val="en-GB"/>
              </w:rPr>
              <w:t>ALARP Low Priority</w:t>
            </w:r>
          </w:p>
        </w:tc>
      </w:tr>
      <w:tr w:rsidR="005303D7" w:rsidRPr="00B57B36" w14:paraId="6F8106AA" w14:textId="77777777" w:rsidTr="0094393D">
        <w:tc>
          <w:tcPr>
            <w:tcW w:w="1860" w:type="dxa"/>
            <w:tcBorders>
              <w:top w:val="nil"/>
              <w:bottom w:val="nil"/>
            </w:tcBorders>
            <w:shd w:val="clear" w:color="auto" w:fill="FFFFFF"/>
          </w:tcPr>
          <w:p w14:paraId="535D4F6A" w14:textId="38CE5941" w:rsidR="005303D7" w:rsidRPr="0094393D" w:rsidRDefault="005303D7" w:rsidP="006C2386">
            <w:pPr>
              <w:pStyle w:val="CETBodytext"/>
              <w:jc w:val="left"/>
              <w:rPr>
                <w:szCs w:val="18"/>
                <w:lang w:val="en-GB"/>
              </w:rPr>
            </w:pPr>
            <w:r w:rsidRPr="0094393D">
              <w:rPr>
                <w:rFonts w:cs="Arial"/>
                <w:kern w:val="24"/>
                <w:szCs w:val="18"/>
                <w:lang w:val="en-GB"/>
              </w:rPr>
              <w:t>-1.5 ≥ Value &gt; -3.0</w:t>
            </w:r>
          </w:p>
        </w:tc>
        <w:tc>
          <w:tcPr>
            <w:tcW w:w="1860" w:type="dxa"/>
            <w:tcBorders>
              <w:top w:val="nil"/>
              <w:bottom w:val="nil"/>
            </w:tcBorders>
            <w:shd w:val="clear" w:color="auto" w:fill="FFFFFF"/>
          </w:tcPr>
          <w:p w14:paraId="3DBC86F3" w14:textId="5F42DC0B" w:rsidR="005303D7" w:rsidRPr="0094393D" w:rsidRDefault="005303D7" w:rsidP="006C2386">
            <w:pPr>
              <w:pStyle w:val="CETBodytext"/>
              <w:jc w:val="left"/>
              <w:rPr>
                <w:szCs w:val="18"/>
                <w:lang w:val="en-GB"/>
              </w:rPr>
            </w:pPr>
            <w:r w:rsidRPr="0094393D">
              <w:rPr>
                <w:rFonts w:cs="Arial"/>
                <w:kern w:val="24"/>
                <w:szCs w:val="18"/>
                <w:lang w:val="en-GB"/>
              </w:rPr>
              <w:t>Not resilient</w:t>
            </w:r>
          </w:p>
        </w:tc>
        <w:tc>
          <w:tcPr>
            <w:tcW w:w="1860" w:type="dxa"/>
            <w:tcBorders>
              <w:top w:val="nil"/>
              <w:bottom w:val="nil"/>
            </w:tcBorders>
            <w:shd w:val="clear" w:color="auto" w:fill="FFFFFF"/>
          </w:tcPr>
          <w:p w14:paraId="0491F245" w14:textId="23006C23" w:rsidR="005303D7" w:rsidRPr="0094393D" w:rsidRDefault="005303D7" w:rsidP="006C2386">
            <w:pPr>
              <w:pStyle w:val="CETBodytext"/>
              <w:jc w:val="left"/>
              <w:rPr>
                <w:szCs w:val="18"/>
                <w:lang w:val="en-GB"/>
              </w:rPr>
            </w:pPr>
            <w:r w:rsidRPr="0094393D">
              <w:rPr>
                <w:rFonts w:cs="Arial"/>
                <w:kern w:val="24"/>
                <w:szCs w:val="18"/>
                <w:lang w:val="en-GB"/>
              </w:rPr>
              <w:t>ALARP High Priority</w:t>
            </w:r>
          </w:p>
        </w:tc>
      </w:tr>
      <w:tr w:rsidR="005303D7" w:rsidRPr="00B57B36" w14:paraId="698838F2" w14:textId="77777777" w:rsidTr="0094393D">
        <w:tc>
          <w:tcPr>
            <w:tcW w:w="1860" w:type="dxa"/>
            <w:tcBorders>
              <w:top w:val="nil"/>
              <w:bottom w:val="single" w:sz="12" w:space="0" w:color="008000"/>
            </w:tcBorders>
            <w:shd w:val="clear" w:color="auto" w:fill="FFFFFF"/>
          </w:tcPr>
          <w:p w14:paraId="43E999CC" w14:textId="624141E5" w:rsidR="005303D7" w:rsidRPr="0094393D" w:rsidRDefault="005303D7" w:rsidP="006C2386">
            <w:pPr>
              <w:pStyle w:val="CETBodytext"/>
              <w:ind w:right="-1"/>
              <w:jc w:val="left"/>
              <w:rPr>
                <w:rFonts w:cs="Arial"/>
                <w:szCs w:val="18"/>
                <w:lang w:val="en-GB"/>
              </w:rPr>
            </w:pPr>
            <w:r w:rsidRPr="0094393D">
              <w:rPr>
                <w:rFonts w:cs="Arial"/>
                <w:kern w:val="24"/>
                <w:szCs w:val="18"/>
                <w:lang w:val="en-GB"/>
              </w:rPr>
              <w:t>-3.0 ≥ Value</w:t>
            </w:r>
          </w:p>
        </w:tc>
        <w:tc>
          <w:tcPr>
            <w:tcW w:w="1860" w:type="dxa"/>
            <w:tcBorders>
              <w:top w:val="nil"/>
              <w:bottom w:val="single" w:sz="12" w:space="0" w:color="008000"/>
            </w:tcBorders>
            <w:shd w:val="clear" w:color="auto" w:fill="FFFFFF"/>
          </w:tcPr>
          <w:p w14:paraId="73BE12A1" w14:textId="7C89DD75" w:rsidR="005303D7" w:rsidRPr="0094393D" w:rsidRDefault="005303D7" w:rsidP="006C2386">
            <w:pPr>
              <w:pStyle w:val="CETBodytext"/>
              <w:ind w:right="-1"/>
              <w:jc w:val="left"/>
              <w:rPr>
                <w:rFonts w:cs="Arial"/>
                <w:szCs w:val="18"/>
                <w:lang w:val="en-GB"/>
              </w:rPr>
            </w:pPr>
            <w:r w:rsidRPr="0094393D">
              <w:rPr>
                <w:rFonts w:cs="Arial"/>
                <w:kern w:val="24"/>
                <w:szCs w:val="18"/>
                <w:lang w:val="en-GB"/>
              </w:rPr>
              <w:t>Highly not resilient</w:t>
            </w:r>
          </w:p>
        </w:tc>
        <w:tc>
          <w:tcPr>
            <w:tcW w:w="1860" w:type="dxa"/>
            <w:tcBorders>
              <w:top w:val="nil"/>
              <w:bottom w:val="single" w:sz="12" w:space="0" w:color="008000"/>
            </w:tcBorders>
            <w:shd w:val="clear" w:color="auto" w:fill="FFFFFF"/>
          </w:tcPr>
          <w:p w14:paraId="5DDD9D6D" w14:textId="5001C797" w:rsidR="005303D7" w:rsidRPr="0094393D" w:rsidRDefault="005303D7" w:rsidP="006C2386">
            <w:pPr>
              <w:pStyle w:val="CETBodytext"/>
              <w:ind w:right="-1"/>
              <w:jc w:val="left"/>
              <w:rPr>
                <w:rFonts w:cs="Arial"/>
                <w:szCs w:val="18"/>
                <w:lang w:val="en-GB"/>
              </w:rPr>
            </w:pPr>
            <w:r w:rsidRPr="0094393D">
              <w:rPr>
                <w:rFonts w:cs="Arial"/>
                <w:kern w:val="24"/>
                <w:szCs w:val="18"/>
                <w:lang w:val="en-GB"/>
              </w:rPr>
              <w:t>Not Acceptable</w:t>
            </w:r>
          </w:p>
        </w:tc>
      </w:tr>
    </w:tbl>
    <w:p w14:paraId="26824F0D" w14:textId="77777777" w:rsidR="003A3B5D" w:rsidRDefault="003A3B5D" w:rsidP="0000011F">
      <w:pPr>
        <w:pStyle w:val="CETBodytext"/>
      </w:pPr>
    </w:p>
    <w:p w14:paraId="77C04256" w14:textId="7DB27286" w:rsidR="008F28DC" w:rsidRDefault="005C0CE9" w:rsidP="008F28DC">
      <w:pPr>
        <w:pStyle w:val="CETBodytext"/>
        <w:rPr>
          <w:lang w:val="en-GB"/>
        </w:rPr>
      </w:pPr>
      <w:r>
        <w:rPr>
          <w:lang w:val="en-GB"/>
        </w:rPr>
        <w:t xml:space="preserve">High negative values on resilience condition </w:t>
      </w:r>
      <w:r w:rsidR="001D7581">
        <w:rPr>
          <w:lang w:val="en-GB"/>
        </w:rPr>
        <w:t>show</w:t>
      </w:r>
      <w:r>
        <w:rPr>
          <w:lang w:val="en-GB"/>
        </w:rPr>
        <w:t xml:space="preserve"> that action definition and planning are falling back on current resilience requirements. It shows that the scenario certainty and the severity of the impact </w:t>
      </w:r>
      <w:r w:rsidR="00A07071">
        <w:rPr>
          <w:lang w:val="en-GB"/>
        </w:rPr>
        <w:t xml:space="preserve">are having a higher rating </w:t>
      </w:r>
      <w:r w:rsidR="001D7581">
        <w:rPr>
          <w:lang w:val="en-GB"/>
        </w:rPr>
        <w:t>than</w:t>
      </w:r>
      <w:r w:rsidR="00A07071">
        <w:rPr>
          <w:lang w:val="en-GB"/>
        </w:rPr>
        <w:t xml:space="preserve"> the response given through the implementation of actions</w:t>
      </w:r>
      <w:r w:rsidR="008F28DC">
        <w:rPr>
          <w:lang w:val="en-GB"/>
        </w:rPr>
        <w:t>.</w:t>
      </w:r>
    </w:p>
    <w:p w14:paraId="4FA964AF" w14:textId="4E1999AE" w:rsidR="00FD4083" w:rsidRDefault="00FD4083" w:rsidP="008F28DC">
      <w:pPr>
        <w:pStyle w:val="CETBodytext"/>
        <w:rPr>
          <w:lang w:val="en-GB"/>
        </w:rPr>
      </w:pPr>
      <w:r>
        <w:rPr>
          <w:lang w:val="en-GB"/>
        </w:rPr>
        <w:t>A resilience condition close to zero, shows that plan</w:t>
      </w:r>
      <w:r w:rsidR="00034D93">
        <w:rPr>
          <w:lang w:val="en-GB"/>
        </w:rPr>
        <w:t>ning</w:t>
      </w:r>
      <w:r>
        <w:rPr>
          <w:lang w:val="en-GB"/>
        </w:rPr>
        <w:t xml:space="preserve"> and action execution are in a </w:t>
      </w:r>
      <w:r w:rsidR="000055CE">
        <w:rPr>
          <w:lang w:val="en-GB"/>
        </w:rPr>
        <w:t xml:space="preserve">state close to the current </w:t>
      </w:r>
      <w:r w:rsidR="000406EE">
        <w:rPr>
          <w:lang w:val="en-GB"/>
        </w:rPr>
        <w:t>challenges caused by climate change conditions.</w:t>
      </w:r>
    </w:p>
    <w:p w14:paraId="6F971023" w14:textId="730EAB0F" w:rsidR="00B76EFA" w:rsidRDefault="000406EE" w:rsidP="008F28DC">
      <w:pPr>
        <w:pStyle w:val="CETBodytext"/>
        <w:rPr>
          <w:lang w:val="en-GB"/>
        </w:rPr>
      </w:pPr>
      <w:r>
        <w:rPr>
          <w:lang w:val="en-GB"/>
        </w:rPr>
        <w:t>A positive resilience condition</w:t>
      </w:r>
      <w:r w:rsidR="006E58B2">
        <w:rPr>
          <w:lang w:val="en-GB"/>
        </w:rPr>
        <w:t xml:space="preserve"> shows that preparedness to climate change is in an advanced state, hence climate change shall cause no significant impact on operations and businesses.</w:t>
      </w:r>
    </w:p>
    <w:p w14:paraId="38849529" w14:textId="4682EECA" w:rsidR="00B76EFA" w:rsidRDefault="00B76EFA" w:rsidP="001D2935">
      <w:pPr>
        <w:pStyle w:val="CETHeading1"/>
        <w:tabs>
          <w:tab w:val="num" w:pos="360"/>
        </w:tabs>
        <w:jc w:val="both"/>
        <w:rPr>
          <w:lang w:val="en-GB"/>
        </w:rPr>
      </w:pPr>
      <w:r>
        <w:rPr>
          <w:lang w:val="en-GB"/>
        </w:rPr>
        <w:t>Example</w:t>
      </w:r>
    </w:p>
    <w:p w14:paraId="6E332DEB" w14:textId="1DB4DFD7" w:rsidR="00B76EFA" w:rsidRPr="00B76EFA" w:rsidRDefault="00B76EFA" w:rsidP="00B76EFA">
      <w:pPr>
        <w:pStyle w:val="CETBodytext"/>
        <w:rPr>
          <w:lang w:val="en-GB"/>
        </w:rPr>
      </w:pPr>
      <w:r>
        <w:rPr>
          <w:lang w:val="en-GB"/>
        </w:rPr>
        <w:t xml:space="preserve">An example has been prepared to </w:t>
      </w:r>
      <w:r w:rsidR="000B5609">
        <w:rPr>
          <w:lang w:val="en-GB"/>
        </w:rPr>
        <w:t xml:space="preserve">visually </w:t>
      </w:r>
      <w:r>
        <w:rPr>
          <w:lang w:val="en-GB"/>
        </w:rPr>
        <w:t xml:space="preserve">illustrate </w:t>
      </w:r>
      <w:r w:rsidR="000B5609">
        <w:rPr>
          <w:lang w:val="en-GB"/>
        </w:rPr>
        <w:t>the outlook of the climate change resilience assessment</w:t>
      </w:r>
    </w:p>
    <w:p w14:paraId="7300BC16" w14:textId="2CF614DA" w:rsidR="00B76EFA" w:rsidRDefault="00B76EFA" w:rsidP="00B76EFA">
      <w:pPr>
        <w:pStyle w:val="CETBodytext"/>
        <w:rPr>
          <w:lang w:val="en-GB"/>
        </w:rPr>
      </w:pPr>
      <w:r w:rsidRPr="00B76EFA">
        <w:rPr>
          <w:lang w:val="en-GB"/>
        </w:rPr>
        <w:drawing>
          <wp:inline distT="0" distB="0" distL="0" distR="0" wp14:anchorId="778AB3FA" wp14:editId="263EE618">
            <wp:extent cx="5579745" cy="2067560"/>
            <wp:effectExtent l="0" t="0" r="1905" b="8890"/>
            <wp:docPr id="133490452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04527" name="Picture 1" descr="A screenshot of a computer&#10;&#10;AI-generated content may be incorrect."/>
                    <pic:cNvPicPr/>
                  </pic:nvPicPr>
                  <pic:blipFill>
                    <a:blip r:embed="rId12"/>
                    <a:stretch>
                      <a:fillRect/>
                    </a:stretch>
                  </pic:blipFill>
                  <pic:spPr>
                    <a:xfrm>
                      <a:off x="0" y="0"/>
                      <a:ext cx="5579745" cy="2067560"/>
                    </a:xfrm>
                    <a:prstGeom prst="rect">
                      <a:avLst/>
                    </a:prstGeom>
                  </pic:spPr>
                </pic:pic>
              </a:graphicData>
            </a:graphic>
          </wp:inline>
        </w:drawing>
      </w:r>
    </w:p>
    <w:p w14:paraId="5B0FC587" w14:textId="38987127" w:rsidR="000B5609" w:rsidRDefault="000B5609" w:rsidP="000B5609">
      <w:pPr>
        <w:pStyle w:val="CETBodytext"/>
        <w:rPr>
          <w:rStyle w:val="CETCaptionCarattere"/>
        </w:rPr>
      </w:pPr>
      <w:r w:rsidRPr="00FE7AAA">
        <w:rPr>
          <w:rStyle w:val="CETCaptionCarattere"/>
        </w:rPr>
        <w:t xml:space="preserve">Figure </w:t>
      </w:r>
      <w:r>
        <w:rPr>
          <w:rStyle w:val="CETCaptionCarattere"/>
        </w:rPr>
        <w:t>2</w:t>
      </w:r>
      <w:r w:rsidRPr="00FE7AAA">
        <w:rPr>
          <w:rStyle w:val="CETCaptionCarattere"/>
        </w:rPr>
        <w:t xml:space="preserve">: </w:t>
      </w:r>
      <w:r>
        <w:rPr>
          <w:rStyle w:val="CETCaptionCarattere"/>
        </w:rPr>
        <w:t xml:space="preserve">Climate </w:t>
      </w:r>
      <w:r>
        <w:rPr>
          <w:rStyle w:val="CETCaptionCarattere"/>
        </w:rPr>
        <w:t>resilience assessment example</w:t>
      </w:r>
    </w:p>
    <w:p w14:paraId="2D957E01" w14:textId="77777777" w:rsidR="000B5609" w:rsidRPr="00B76EFA" w:rsidRDefault="000B5609" w:rsidP="00B76EFA">
      <w:pPr>
        <w:pStyle w:val="CETBodytext"/>
        <w:rPr>
          <w:lang w:val="en-GB"/>
        </w:rPr>
      </w:pPr>
    </w:p>
    <w:p w14:paraId="4DB51CE5" w14:textId="77777777" w:rsidR="000B5609" w:rsidRDefault="000B5609">
      <w:pPr>
        <w:tabs>
          <w:tab w:val="clear" w:pos="7100"/>
        </w:tabs>
        <w:spacing w:after="200" w:line="276" w:lineRule="auto"/>
        <w:jc w:val="left"/>
        <w:rPr>
          <w:b/>
          <w:sz w:val="20"/>
        </w:rPr>
      </w:pPr>
      <w:r>
        <w:br w:type="page"/>
      </w:r>
    </w:p>
    <w:p w14:paraId="31C6E68B" w14:textId="428399EE" w:rsidR="00EC0ECD" w:rsidRDefault="00EC0ECD" w:rsidP="001D2935">
      <w:pPr>
        <w:pStyle w:val="CETHeading1"/>
        <w:tabs>
          <w:tab w:val="num" w:pos="360"/>
        </w:tabs>
        <w:jc w:val="both"/>
        <w:rPr>
          <w:lang w:val="en-GB"/>
        </w:rPr>
      </w:pPr>
      <w:r>
        <w:rPr>
          <w:lang w:val="en-GB"/>
        </w:rPr>
        <w:t>Conclusion</w:t>
      </w:r>
      <w:r w:rsidR="000B5609">
        <w:rPr>
          <w:lang w:val="en-GB"/>
        </w:rPr>
        <w:t>s</w:t>
      </w:r>
    </w:p>
    <w:p w14:paraId="27008F02" w14:textId="378D36CC" w:rsidR="004E388C" w:rsidRPr="004E388C" w:rsidRDefault="00A84116" w:rsidP="004E388C">
      <w:pPr>
        <w:pStyle w:val="CETBodytext"/>
        <w:rPr>
          <w:lang w:val="en-GB"/>
        </w:rPr>
      </w:pPr>
      <w:r w:rsidRPr="00A84116">
        <w:rPr>
          <w:lang w:val="en-GB"/>
        </w:rPr>
        <w:t>The paper presents a comprehensive Climate Resilience Assessment Methodology developed by Stahl to address the impacts of climate change on its operations.</w:t>
      </w:r>
      <w:r w:rsidR="00DF48DB">
        <w:rPr>
          <w:lang w:val="en-GB"/>
        </w:rPr>
        <w:t xml:space="preserve"> </w:t>
      </w:r>
      <w:r w:rsidR="00DF48DB" w:rsidRPr="00A84116">
        <w:rPr>
          <w:lang w:val="en-GB"/>
        </w:rPr>
        <w:t>This methodology enables Stahl to systematically evaluate climate change risks, plan appropriate adaptation measures, and make informed decisions regarding investments in climate resilience across their operational sites</w:t>
      </w:r>
    </w:p>
    <w:p w14:paraId="3B5D0C1F" w14:textId="1D14189A" w:rsidR="004E388C" w:rsidRPr="004E388C" w:rsidRDefault="004E388C" w:rsidP="004E388C">
      <w:pPr>
        <w:pStyle w:val="CETBodytext"/>
        <w:rPr>
          <w:lang w:val="en-GB"/>
        </w:rPr>
      </w:pPr>
      <w:r w:rsidRPr="004E388C">
        <w:rPr>
          <w:lang w:val="en-GB"/>
        </w:rPr>
        <w:t>Stahl's methodology for climate resilience combines proactive scenario planning with comprehensive data analysis. It integrates climate models, risk assessments, historical data, and stakeholder insights to define relevant climate scenarios and assess their potential consequences. Additionally, localized evaluations determine site-specific vulnerabilities and the severity of possible impacts.</w:t>
      </w:r>
    </w:p>
    <w:p w14:paraId="36F28EF5" w14:textId="70E5CFAD" w:rsidR="004E388C" w:rsidRPr="004E388C" w:rsidRDefault="004E388C" w:rsidP="004E388C">
      <w:pPr>
        <w:pStyle w:val="CETBodytext"/>
        <w:rPr>
          <w:lang w:val="en-GB"/>
        </w:rPr>
      </w:pPr>
      <w:r w:rsidRPr="004E388C">
        <w:rPr>
          <w:lang w:val="en-GB"/>
        </w:rPr>
        <w:t>A structured impact assessment uses a climate impact matrix to prioritize risks based on confidence levels and severity. This evaluation informs targeted action planning, identifying necessary measures and optimizing resource allocation. By aligning resilience assessments with Stahl’s Risk Acceptance Criteria Matrix, the methodology ensures seamless integration with existing risk management frameworks, enhancing long-term sustainability.</w:t>
      </w:r>
    </w:p>
    <w:p w14:paraId="0DAD0B0F" w14:textId="2438CAC0" w:rsidR="00571F6A" w:rsidRPr="00FE7AAA" w:rsidRDefault="00571F6A" w:rsidP="001D2935">
      <w:pPr>
        <w:pStyle w:val="CETHeading1"/>
        <w:tabs>
          <w:tab w:val="num" w:pos="360"/>
        </w:tabs>
        <w:jc w:val="both"/>
        <w:rPr>
          <w:lang w:val="en-GB"/>
        </w:rPr>
      </w:pPr>
      <w:r w:rsidRPr="00FE7AAA">
        <w:rPr>
          <w:lang w:val="en-GB"/>
        </w:rPr>
        <w:t>References</w:t>
      </w:r>
    </w:p>
    <w:p w14:paraId="2AE5E25F" w14:textId="77777777" w:rsidR="007B5F7B" w:rsidRPr="00FE7AAA" w:rsidRDefault="007B5F7B" w:rsidP="00B3723D">
      <w:pPr>
        <w:pStyle w:val="CETBodytext"/>
        <w:ind w:left="360" w:hanging="360"/>
        <w:rPr>
          <w:lang w:val="en-GB"/>
        </w:rPr>
      </w:pPr>
      <w:r w:rsidRPr="00FE7AAA">
        <w:rPr>
          <w:lang w:val="en-GB"/>
        </w:rPr>
        <w:t>Butler C.D., Kuch D., 2018, The Medical Journal of Australia, 208, 296-301.</w:t>
      </w:r>
    </w:p>
    <w:p w14:paraId="7E46FB86" w14:textId="69CD4EF0" w:rsidR="00E679B4" w:rsidRDefault="00C874FD" w:rsidP="00635E2D">
      <w:pPr>
        <w:pStyle w:val="CETBodytext"/>
        <w:ind w:left="360" w:hanging="360"/>
        <w:rPr>
          <w:lang w:val="en-GB"/>
        </w:rPr>
      </w:pPr>
      <w:r>
        <w:rPr>
          <w:lang w:val="en-GB"/>
        </w:rPr>
        <w:t>CEN-CENELEC</w:t>
      </w:r>
      <w:r w:rsidR="006011C6">
        <w:rPr>
          <w:lang w:val="en-GB"/>
        </w:rPr>
        <w:t>, 2016.</w:t>
      </w:r>
      <w:r>
        <w:rPr>
          <w:lang w:val="en-GB"/>
        </w:rPr>
        <w:t xml:space="preserve"> Guide 32</w:t>
      </w:r>
      <w:r w:rsidR="006011C6">
        <w:rPr>
          <w:lang w:val="en-GB"/>
        </w:rPr>
        <w:t>, Guide for addressing climate change adaptation in standards.</w:t>
      </w:r>
    </w:p>
    <w:p w14:paraId="3A6D33FD" w14:textId="3561A6C1" w:rsidR="00635E2D" w:rsidRPr="00FE7AAA" w:rsidRDefault="00635E2D" w:rsidP="00635E2D">
      <w:pPr>
        <w:pStyle w:val="CETBodytext"/>
        <w:ind w:left="360" w:hanging="360"/>
        <w:rPr>
          <w:lang w:val="en-GB"/>
        </w:rPr>
      </w:pPr>
      <w:r w:rsidRPr="00FE7AAA">
        <w:rPr>
          <w:lang w:val="en-GB"/>
        </w:rPr>
        <w:t xml:space="preserve">European Environment Agency, 2017. </w:t>
      </w:r>
      <w:proofErr w:type="gramStart"/>
      <w:r w:rsidRPr="00FE7AAA">
        <w:rPr>
          <w:lang w:val="en-GB"/>
        </w:rPr>
        <w:t>Climate change,</w:t>
      </w:r>
      <w:proofErr w:type="gramEnd"/>
      <w:r w:rsidRPr="00FE7AAA">
        <w:rPr>
          <w:lang w:val="en-GB"/>
        </w:rPr>
        <w:t xml:space="preserve"> impacts and vulnerability in Europe 2016. EEA Report No 1/2017.</w:t>
      </w:r>
    </w:p>
    <w:p w14:paraId="5D4F952F" w14:textId="2F465A53" w:rsidR="00B30AE0" w:rsidRDefault="00B30AE0" w:rsidP="00334E20">
      <w:pPr>
        <w:pStyle w:val="CETBodytext"/>
        <w:ind w:left="360" w:hanging="360"/>
        <w:rPr>
          <w:lang w:val="en-GB"/>
        </w:rPr>
      </w:pPr>
      <w:r>
        <w:rPr>
          <w:lang w:val="en-GB"/>
        </w:rPr>
        <w:t>European Union, 2022</w:t>
      </w:r>
      <w:r w:rsidR="001F46B4">
        <w:rPr>
          <w:lang w:val="en-GB"/>
        </w:rPr>
        <w:t xml:space="preserve">. </w:t>
      </w:r>
      <w:r w:rsidR="00334E20" w:rsidRPr="00334E20">
        <w:rPr>
          <w:lang w:val="en-GB"/>
        </w:rPr>
        <w:t>D</w:t>
      </w:r>
      <w:r w:rsidR="00334E20">
        <w:rPr>
          <w:lang w:val="en-GB"/>
        </w:rPr>
        <w:t xml:space="preserve">irective </w:t>
      </w:r>
      <w:r w:rsidR="00334E20" w:rsidRPr="00334E20">
        <w:rPr>
          <w:lang w:val="en-GB"/>
        </w:rPr>
        <w:t xml:space="preserve">(EU) 2022/2464 </w:t>
      </w:r>
      <w:r w:rsidR="00334E20" w:rsidRPr="00334E20">
        <w:rPr>
          <w:lang w:val="en-GB"/>
        </w:rPr>
        <w:t xml:space="preserve">Of </w:t>
      </w:r>
      <w:proofErr w:type="gramStart"/>
      <w:r w:rsidR="00334E20" w:rsidRPr="00334E20">
        <w:rPr>
          <w:lang w:val="en-GB"/>
        </w:rPr>
        <w:t>The</w:t>
      </w:r>
      <w:proofErr w:type="gramEnd"/>
      <w:r w:rsidR="00334E20" w:rsidRPr="00334E20">
        <w:rPr>
          <w:lang w:val="en-GB"/>
        </w:rPr>
        <w:t xml:space="preserve"> European Parliament And Of The Council</w:t>
      </w:r>
      <w:r w:rsidR="00334E20">
        <w:rPr>
          <w:lang w:val="en-GB"/>
        </w:rPr>
        <w:t xml:space="preserve"> </w:t>
      </w:r>
      <w:r w:rsidR="00334E20" w:rsidRPr="00334E20">
        <w:rPr>
          <w:lang w:val="en-GB"/>
        </w:rPr>
        <w:t>of 14 December 2022</w:t>
      </w:r>
      <w:r w:rsidR="00334E20">
        <w:rPr>
          <w:lang w:val="en-GB"/>
        </w:rPr>
        <w:t xml:space="preserve"> </w:t>
      </w:r>
      <w:r w:rsidR="00334E20" w:rsidRPr="00334E20">
        <w:rPr>
          <w:lang w:val="en-GB"/>
        </w:rPr>
        <w:t>amending Regulation (EU) No 537/2014, Directive 2004/109/EC, Directive 2006/43/EC and Directive 2013/34/EU, as regards corporate sustainability reporting</w:t>
      </w:r>
    </w:p>
    <w:p w14:paraId="0AB6441F" w14:textId="19473F2E" w:rsidR="00AC20A2" w:rsidRPr="00FE7AAA" w:rsidRDefault="002F675E" w:rsidP="00B3723D">
      <w:pPr>
        <w:pStyle w:val="CETBodytext"/>
        <w:ind w:left="360" w:hanging="360"/>
        <w:rPr>
          <w:lang w:val="en-GB"/>
        </w:rPr>
      </w:pPr>
      <w:r w:rsidRPr="00FE7AAA">
        <w:rPr>
          <w:lang w:val="en-GB"/>
        </w:rPr>
        <w:t>Haunschild R., Bornmann L., Marx W., 2016, Climate Change Research in View of Bibliometrics, PLOS ONE, 11, e0160393.</w:t>
      </w:r>
    </w:p>
    <w:p w14:paraId="3BA2C8CA" w14:textId="1C59E98F" w:rsidR="00D500F3" w:rsidRPr="00FE7AAA" w:rsidRDefault="00D500F3" w:rsidP="00D500F3">
      <w:pPr>
        <w:pStyle w:val="CETBodytext"/>
        <w:ind w:left="360" w:hanging="360"/>
        <w:rPr>
          <w:lang w:val="en-GB"/>
        </w:rPr>
      </w:pPr>
      <w:r w:rsidRPr="00FE7AAA">
        <w:rPr>
          <w:lang w:val="en-GB"/>
        </w:rPr>
        <w:t>IPCC</w:t>
      </w:r>
      <w:r w:rsidR="00D06D70" w:rsidRPr="00FE7AAA">
        <w:rPr>
          <w:lang w:val="en-GB"/>
        </w:rPr>
        <w:t xml:space="preserve">, </w:t>
      </w:r>
      <w:r w:rsidRPr="00FE7AAA">
        <w:rPr>
          <w:lang w:val="en-GB"/>
        </w:rPr>
        <w:t>2014. Climate Change 2014: Impacts, Adaptation, and Vulnerability. Contribution of Working Group II to the Fifth Assessment Report of the Intergovernmental Panel on Climate Change.</w:t>
      </w:r>
    </w:p>
    <w:p w14:paraId="1F3BAE4E" w14:textId="586BA3D9" w:rsidR="00CD5B3A" w:rsidRDefault="002F675E" w:rsidP="00B3723D">
      <w:pPr>
        <w:pStyle w:val="CETBodytext"/>
        <w:ind w:left="360" w:hanging="360"/>
        <w:rPr>
          <w:lang w:val="en-GB"/>
        </w:rPr>
      </w:pPr>
      <w:r w:rsidRPr="00FE7AAA">
        <w:rPr>
          <w:lang w:val="en-GB"/>
        </w:rPr>
        <w:t>IPCC, 2021, Climate Change 2021: The Physical Science Basis. Contribution of Working Group I to the Sixth Assessment Report of the Intergovernmental Panel on Climate Change, Cambridge University Press, Cambridge, UK.</w:t>
      </w:r>
    </w:p>
    <w:p w14:paraId="0A529BDF" w14:textId="7CD0B6DB" w:rsidR="00870DAC" w:rsidRPr="00FE7AAA" w:rsidRDefault="00D95B0D" w:rsidP="00D95B0D">
      <w:pPr>
        <w:pStyle w:val="CETBodytext"/>
        <w:ind w:left="360" w:hanging="360"/>
        <w:rPr>
          <w:lang w:val="en-GB"/>
        </w:rPr>
      </w:pPr>
      <w:r w:rsidRPr="00D95B0D">
        <w:rPr>
          <w:lang w:val="en-GB"/>
        </w:rPr>
        <w:t>IPCC, 2022: Climate Change 2022: Impacts, Adaptation and Vulnerability. Contribution of Working Group II to the Sixth Assessment Report of the</w:t>
      </w:r>
      <w:r>
        <w:rPr>
          <w:lang w:val="en-GB"/>
        </w:rPr>
        <w:t xml:space="preserve"> </w:t>
      </w:r>
      <w:r w:rsidRPr="00D95B0D">
        <w:rPr>
          <w:lang w:val="en-GB"/>
        </w:rPr>
        <w:t>Intergovernmental Panel on Climate Change</w:t>
      </w:r>
      <w:r w:rsidR="009408CC">
        <w:rPr>
          <w:lang w:val="en-GB"/>
        </w:rPr>
        <w:t xml:space="preserve">. </w:t>
      </w:r>
      <w:r w:rsidRPr="00D95B0D">
        <w:rPr>
          <w:lang w:val="en-GB"/>
        </w:rPr>
        <w:t>Cambridge University Press. Cambridge University Press, Cambridge, UK and New York, NY, USA.</w:t>
      </w:r>
    </w:p>
    <w:p w14:paraId="1CBBE865" w14:textId="59086C9C" w:rsidR="0056025B" w:rsidRDefault="0056025B" w:rsidP="00B3723D">
      <w:pPr>
        <w:pStyle w:val="CETBodytext"/>
        <w:ind w:left="360" w:hanging="360"/>
        <w:rPr>
          <w:lang w:val="en-GB"/>
        </w:rPr>
      </w:pPr>
      <w:r>
        <w:rPr>
          <w:lang w:val="en-GB"/>
        </w:rPr>
        <w:t>ISO</w:t>
      </w:r>
      <w:r w:rsidR="00870DAC">
        <w:rPr>
          <w:lang w:val="en-GB"/>
        </w:rPr>
        <w:t>, 2021. EN ISO 14091, Adaptation to climate change, Guidelines on vulnerability, impacts and risk assessment.</w:t>
      </w:r>
    </w:p>
    <w:p w14:paraId="02AD4853" w14:textId="2D331BBD" w:rsidR="00CD5B3A" w:rsidRPr="00FE7AAA" w:rsidRDefault="002F675E" w:rsidP="00B3723D">
      <w:pPr>
        <w:pStyle w:val="CETBodytext"/>
        <w:ind w:left="360" w:hanging="360"/>
        <w:rPr>
          <w:lang w:val="en-GB"/>
        </w:rPr>
      </w:pPr>
      <w:r w:rsidRPr="00FE7AAA">
        <w:rPr>
          <w:lang w:val="en-GB"/>
        </w:rPr>
        <w:t>NASA, 2024, Global Climate Change: Vital Signs of the Planet, National Aeronautics and Space Administration &lt;climate.nasa.gov&gt; accessed 27.09.2024.</w:t>
      </w:r>
    </w:p>
    <w:p w14:paraId="66DF953F" w14:textId="2A6D8FEB" w:rsidR="004A4347" w:rsidRPr="00FE7AAA" w:rsidRDefault="004A4347" w:rsidP="00B3723D">
      <w:pPr>
        <w:pStyle w:val="CETBodytext"/>
        <w:ind w:left="360" w:hanging="360"/>
        <w:rPr>
          <w:lang w:val="en-GB"/>
        </w:rPr>
      </w:pPr>
      <w:r w:rsidRPr="00FE7AAA">
        <w:rPr>
          <w:lang w:val="en-GB"/>
        </w:rPr>
        <w:t>National Climate Assessment, 2018. Fourth National Climate Assessment: Impacts, Risks, and Adaptation in the United States. U.S. Global Change Research Program.</w:t>
      </w:r>
    </w:p>
    <w:p w14:paraId="28737F7C" w14:textId="2B03E5ED" w:rsidR="002F675E" w:rsidRPr="00FE7AAA" w:rsidRDefault="002F675E" w:rsidP="00B3723D">
      <w:pPr>
        <w:pStyle w:val="CETBodytext"/>
        <w:ind w:left="360" w:hanging="360"/>
        <w:rPr>
          <w:lang w:val="en-GB"/>
        </w:rPr>
      </w:pPr>
      <w:r w:rsidRPr="00FE7AAA">
        <w:rPr>
          <w:lang w:val="en-GB"/>
        </w:rPr>
        <w:t>Nature Climate Change, 2024, September 2024 Issue, Nature Portfolio &lt;</w:t>
      </w:r>
      <w:hyperlink r:id="rId13" w:tgtFrame="_blank" w:history="1">
        <w:r w:rsidRPr="00FE7AAA">
          <w:rPr>
            <w:lang w:val="en-GB"/>
          </w:rPr>
          <w:t>www.nature.com/nclimate/volumes/14/issues/9</w:t>
        </w:r>
      </w:hyperlink>
      <w:r w:rsidRPr="00FE7AAA">
        <w:rPr>
          <w:lang w:val="en-GB"/>
        </w:rPr>
        <w:t>&gt; accessed 27.09.2024.</w:t>
      </w:r>
    </w:p>
    <w:p w14:paraId="3CCE7B07" w14:textId="19EC843F" w:rsidR="007B5F7B" w:rsidRPr="00FE7AAA" w:rsidRDefault="007B5F7B" w:rsidP="00B3723D">
      <w:pPr>
        <w:pStyle w:val="CETBodytext"/>
        <w:ind w:left="360" w:hanging="360"/>
        <w:rPr>
          <w:lang w:val="en-GB"/>
        </w:rPr>
      </w:pPr>
      <w:r w:rsidRPr="00FE7AAA">
        <w:rPr>
          <w:lang w:val="en-GB"/>
        </w:rPr>
        <w:t>UNFCCC, 2021, CGE Training materials on Vulnerability and adaptation assessment. Climate change scenarios, United Nations Framework Convention on Climate Change &lt;unfccc.int/process-and-meetings/bodies/constituted-bodies/consultative-group-of-experts-cge/cge-training-materials/cge-training-materials-vulnerability-and-adaptation-assessment&gt; accessed 27.09.2024.</w:t>
      </w:r>
    </w:p>
    <w:p w14:paraId="4A0FC869" w14:textId="7590BB9E" w:rsidR="005407B6" w:rsidRPr="00FE7AAA" w:rsidRDefault="005407B6" w:rsidP="00B3723D">
      <w:pPr>
        <w:pStyle w:val="CETBodytext"/>
        <w:ind w:left="360" w:hanging="360"/>
        <w:rPr>
          <w:lang w:val="en-GB"/>
        </w:rPr>
      </w:pPr>
      <w:r w:rsidRPr="00FE7AAA">
        <w:rPr>
          <w:lang w:val="en-GB"/>
        </w:rPr>
        <w:t xml:space="preserve">van Vuuren, D. P., Edmonds, J., </w:t>
      </w:r>
      <w:proofErr w:type="spellStart"/>
      <w:r w:rsidRPr="00FE7AAA">
        <w:rPr>
          <w:lang w:val="en-GB"/>
        </w:rPr>
        <w:t>Kainuma</w:t>
      </w:r>
      <w:proofErr w:type="spellEnd"/>
      <w:r w:rsidRPr="00FE7AAA">
        <w:rPr>
          <w:lang w:val="en-GB"/>
        </w:rPr>
        <w:t xml:space="preserve">, M., Riahi, K., Thomson, A., Hibbard, K., Hurtt, G. C., Kram, T., Krey, V., Lamarque, J. F., Masui, T., </w:t>
      </w:r>
      <w:proofErr w:type="spellStart"/>
      <w:r w:rsidRPr="00FE7AAA">
        <w:rPr>
          <w:lang w:val="en-GB"/>
        </w:rPr>
        <w:t>Meinshausen</w:t>
      </w:r>
      <w:proofErr w:type="spellEnd"/>
      <w:r w:rsidRPr="00FE7AAA">
        <w:rPr>
          <w:lang w:val="en-GB"/>
        </w:rPr>
        <w:t xml:space="preserve">, M., </w:t>
      </w:r>
      <w:proofErr w:type="spellStart"/>
      <w:r w:rsidRPr="00FE7AAA">
        <w:rPr>
          <w:lang w:val="en-GB"/>
        </w:rPr>
        <w:t>Nakicenovic</w:t>
      </w:r>
      <w:proofErr w:type="spellEnd"/>
      <w:r w:rsidRPr="00FE7AAA">
        <w:rPr>
          <w:lang w:val="en-GB"/>
        </w:rPr>
        <w:t>, N., Smith, S. J., &amp; Rose, S. K, 2011. The representative concentration pathways: an overview. Climatic Change, 109(1-2), 5-31.</w:t>
      </w:r>
    </w:p>
    <w:p w14:paraId="096AD2A5" w14:textId="74BE7808" w:rsidR="005407B6" w:rsidRPr="00FE7AAA" w:rsidRDefault="005407B6" w:rsidP="00B3723D">
      <w:pPr>
        <w:pStyle w:val="CETBodytext"/>
        <w:ind w:left="360" w:hanging="360"/>
        <w:rPr>
          <w:lang w:val="en-GB"/>
        </w:rPr>
      </w:pPr>
      <w:r w:rsidRPr="00FE7AAA">
        <w:rPr>
          <w:lang w:val="en-GB"/>
        </w:rPr>
        <w:t>World Meteorological Organization, 2021. State of the Global Climate 2020. WMO-No. 1264.</w:t>
      </w:r>
    </w:p>
    <w:p w14:paraId="7693F29B" w14:textId="389273F4" w:rsidR="00D500F3" w:rsidRPr="00FE7AAA" w:rsidRDefault="00C36F0D" w:rsidP="00C8088E">
      <w:pPr>
        <w:pStyle w:val="CETBodytext"/>
        <w:ind w:left="360" w:hanging="360"/>
        <w:rPr>
          <w:lang w:val="en-GB"/>
        </w:rPr>
      </w:pPr>
      <w:r w:rsidRPr="00FE7AAA">
        <w:rPr>
          <w:lang w:val="en-GB"/>
        </w:rPr>
        <w:t>WWF, 2024, Water Risk Filter, World Wildlife Fund &lt;riskfilter.org/water/home&gt; accessed 27.09.2024.</w:t>
      </w:r>
    </w:p>
    <w:sectPr w:rsidR="00D500F3" w:rsidRPr="00FE7AA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20E2" w14:textId="77777777" w:rsidR="00616081" w:rsidRDefault="00616081" w:rsidP="004F5E36">
      <w:r>
        <w:separator/>
      </w:r>
    </w:p>
  </w:endnote>
  <w:endnote w:type="continuationSeparator" w:id="0">
    <w:p w14:paraId="2F95B7B1" w14:textId="77777777" w:rsidR="00616081" w:rsidRDefault="0061608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6B57" w14:textId="77777777" w:rsidR="00616081" w:rsidRDefault="00616081" w:rsidP="004F5E36">
      <w:r>
        <w:separator/>
      </w:r>
    </w:p>
  </w:footnote>
  <w:footnote w:type="continuationSeparator" w:id="0">
    <w:p w14:paraId="386873E1" w14:textId="77777777" w:rsidR="00616081" w:rsidRDefault="0061608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6814A1"/>
    <w:multiLevelType w:val="hybridMultilevel"/>
    <w:tmpl w:val="0DE6880A"/>
    <w:lvl w:ilvl="0" w:tplc="1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8786AFB"/>
    <w:multiLevelType w:val="hybridMultilevel"/>
    <w:tmpl w:val="4B9C26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EC65FD"/>
    <w:multiLevelType w:val="hybridMultilevel"/>
    <w:tmpl w:val="ED74254E"/>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6E26253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7632919"/>
    <w:multiLevelType w:val="hybridMultilevel"/>
    <w:tmpl w:val="4B9C264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037622"/>
    <w:multiLevelType w:val="hybridMultilevel"/>
    <w:tmpl w:val="C74E89E2"/>
    <w:lvl w:ilvl="0" w:tplc="926249E8">
      <w:start w:val="1"/>
      <w:numFmt w:val="decimal"/>
      <w:lvlText w:val="%1."/>
      <w:lvlJc w:val="left"/>
      <w:pPr>
        <w:ind w:left="4164" w:hanging="380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D36A7E"/>
    <w:multiLevelType w:val="hybridMultilevel"/>
    <w:tmpl w:val="CFE4EE50"/>
    <w:lvl w:ilvl="0" w:tplc="0C0A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CE97860"/>
    <w:multiLevelType w:val="hybridMultilevel"/>
    <w:tmpl w:val="A3403D9A"/>
    <w:lvl w:ilvl="0" w:tplc="A7E23874">
      <w:start w:val="1"/>
      <w:numFmt w:val="bullet"/>
      <w:lvlText w:val=""/>
      <w:lvlJc w:val="left"/>
      <w:pPr>
        <w:tabs>
          <w:tab w:val="num" w:pos="720"/>
        </w:tabs>
        <w:ind w:left="720" w:hanging="360"/>
      </w:pPr>
      <w:rPr>
        <w:rFonts w:ascii="Wingdings" w:hAnsi="Wingdings" w:hint="default"/>
      </w:rPr>
    </w:lvl>
    <w:lvl w:ilvl="1" w:tplc="31C0FDEC" w:tentative="1">
      <w:start w:val="1"/>
      <w:numFmt w:val="bullet"/>
      <w:lvlText w:val=""/>
      <w:lvlJc w:val="left"/>
      <w:pPr>
        <w:tabs>
          <w:tab w:val="num" w:pos="1440"/>
        </w:tabs>
        <w:ind w:left="1440" w:hanging="360"/>
      </w:pPr>
      <w:rPr>
        <w:rFonts w:ascii="Wingdings" w:hAnsi="Wingdings" w:hint="default"/>
      </w:rPr>
    </w:lvl>
    <w:lvl w:ilvl="2" w:tplc="F586958E" w:tentative="1">
      <w:start w:val="1"/>
      <w:numFmt w:val="bullet"/>
      <w:lvlText w:val=""/>
      <w:lvlJc w:val="left"/>
      <w:pPr>
        <w:tabs>
          <w:tab w:val="num" w:pos="2160"/>
        </w:tabs>
        <w:ind w:left="2160" w:hanging="360"/>
      </w:pPr>
      <w:rPr>
        <w:rFonts w:ascii="Wingdings" w:hAnsi="Wingdings" w:hint="default"/>
      </w:rPr>
    </w:lvl>
    <w:lvl w:ilvl="3" w:tplc="F71A4D7C" w:tentative="1">
      <w:start w:val="1"/>
      <w:numFmt w:val="bullet"/>
      <w:lvlText w:val=""/>
      <w:lvlJc w:val="left"/>
      <w:pPr>
        <w:tabs>
          <w:tab w:val="num" w:pos="2880"/>
        </w:tabs>
        <w:ind w:left="2880" w:hanging="360"/>
      </w:pPr>
      <w:rPr>
        <w:rFonts w:ascii="Wingdings" w:hAnsi="Wingdings" w:hint="default"/>
      </w:rPr>
    </w:lvl>
    <w:lvl w:ilvl="4" w:tplc="053AC92E" w:tentative="1">
      <w:start w:val="1"/>
      <w:numFmt w:val="bullet"/>
      <w:lvlText w:val=""/>
      <w:lvlJc w:val="left"/>
      <w:pPr>
        <w:tabs>
          <w:tab w:val="num" w:pos="3600"/>
        </w:tabs>
        <w:ind w:left="3600" w:hanging="360"/>
      </w:pPr>
      <w:rPr>
        <w:rFonts w:ascii="Wingdings" w:hAnsi="Wingdings" w:hint="default"/>
      </w:rPr>
    </w:lvl>
    <w:lvl w:ilvl="5" w:tplc="7B0AC050" w:tentative="1">
      <w:start w:val="1"/>
      <w:numFmt w:val="bullet"/>
      <w:lvlText w:val=""/>
      <w:lvlJc w:val="left"/>
      <w:pPr>
        <w:tabs>
          <w:tab w:val="num" w:pos="4320"/>
        </w:tabs>
        <w:ind w:left="4320" w:hanging="360"/>
      </w:pPr>
      <w:rPr>
        <w:rFonts w:ascii="Wingdings" w:hAnsi="Wingdings" w:hint="default"/>
      </w:rPr>
    </w:lvl>
    <w:lvl w:ilvl="6" w:tplc="620A7636" w:tentative="1">
      <w:start w:val="1"/>
      <w:numFmt w:val="bullet"/>
      <w:lvlText w:val=""/>
      <w:lvlJc w:val="left"/>
      <w:pPr>
        <w:tabs>
          <w:tab w:val="num" w:pos="5040"/>
        </w:tabs>
        <w:ind w:left="5040" w:hanging="360"/>
      </w:pPr>
      <w:rPr>
        <w:rFonts w:ascii="Wingdings" w:hAnsi="Wingdings" w:hint="default"/>
      </w:rPr>
    </w:lvl>
    <w:lvl w:ilvl="7" w:tplc="55AAAEF4" w:tentative="1">
      <w:start w:val="1"/>
      <w:numFmt w:val="bullet"/>
      <w:lvlText w:val=""/>
      <w:lvlJc w:val="left"/>
      <w:pPr>
        <w:tabs>
          <w:tab w:val="num" w:pos="5760"/>
        </w:tabs>
        <w:ind w:left="5760" w:hanging="360"/>
      </w:pPr>
      <w:rPr>
        <w:rFonts w:ascii="Wingdings" w:hAnsi="Wingdings" w:hint="default"/>
      </w:rPr>
    </w:lvl>
    <w:lvl w:ilvl="8" w:tplc="4502B6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6C2E7D"/>
    <w:multiLevelType w:val="multilevel"/>
    <w:tmpl w:val="7E921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9D1A12"/>
    <w:multiLevelType w:val="hybridMultilevel"/>
    <w:tmpl w:val="C5E69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4893755"/>
    <w:multiLevelType w:val="hybridMultilevel"/>
    <w:tmpl w:val="069E5E1A"/>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D32C22"/>
    <w:multiLevelType w:val="hybridMultilevel"/>
    <w:tmpl w:val="B266A430"/>
    <w:lvl w:ilvl="0" w:tplc="573C04AA">
      <w:start w:val="1"/>
      <w:numFmt w:val="bullet"/>
      <w:lvlText w:val=""/>
      <w:lvlJc w:val="left"/>
      <w:pPr>
        <w:tabs>
          <w:tab w:val="num" w:pos="720"/>
        </w:tabs>
        <w:ind w:left="720" w:hanging="360"/>
      </w:pPr>
      <w:rPr>
        <w:rFonts w:ascii="Wingdings" w:hAnsi="Wingdings" w:hint="default"/>
      </w:rPr>
    </w:lvl>
    <w:lvl w:ilvl="1" w:tplc="55703216">
      <w:numFmt w:val="bullet"/>
      <w:lvlText w:val="•"/>
      <w:lvlJc w:val="left"/>
      <w:pPr>
        <w:tabs>
          <w:tab w:val="num" w:pos="1440"/>
        </w:tabs>
        <w:ind w:left="1440" w:hanging="360"/>
      </w:pPr>
      <w:rPr>
        <w:rFonts w:ascii="Arial" w:hAnsi="Arial" w:hint="default"/>
      </w:rPr>
    </w:lvl>
    <w:lvl w:ilvl="2" w:tplc="D9C050A8" w:tentative="1">
      <w:start w:val="1"/>
      <w:numFmt w:val="bullet"/>
      <w:lvlText w:val=""/>
      <w:lvlJc w:val="left"/>
      <w:pPr>
        <w:tabs>
          <w:tab w:val="num" w:pos="2160"/>
        </w:tabs>
        <w:ind w:left="2160" w:hanging="360"/>
      </w:pPr>
      <w:rPr>
        <w:rFonts w:ascii="Wingdings" w:hAnsi="Wingdings" w:hint="default"/>
      </w:rPr>
    </w:lvl>
    <w:lvl w:ilvl="3" w:tplc="91863AAE" w:tentative="1">
      <w:start w:val="1"/>
      <w:numFmt w:val="bullet"/>
      <w:lvlText w:val=""/>
      <w:lvlJc w:val="left"/>
      <w:pPr>
        <w:tabs>
          <w:tab w:val="num" w:pos="2880"/>
        </w:tabs>
        <w:ind w:left="2880" w:hanging="360"/>
      </w:pPr>
      <w:rPr>
        <w:rFonts w:ascii="Wingdings" w:hAnsi="Wingdings" w:hint="default"/>
      </w:rPr>
    </w:lvl>
    <w:lvl w:ilvl="4" w:tplc="A6F6A1C4" w:tentative="1">
      <w:start w:val="1"/>
      <w:numFmt w:val="bullet"/>
      <w:lvlText w:val=""/>
      <w:lvlJc w:val="left"/>
      <w:pPr>
        <w:tabs>
          <w:tab w:val="num" w:pos="3600"/>
        </w:tabs>
        <w:ind w:left="3600" w:hanging="360"/>
      </w:pPr>
      <w:rPr>
        <w:rFonts w:ascii="Wingdings" w:hAnsi="Wingdings" w:hint="default"/>
      </w:rPr>
    </w:lvl>
    <w:lvl w:ilvl="5" w:tplc="66FA1280" w:tentative="1">
      <w:start w:val="1"/>
      <w:numFmt w:val="bullet"/>
      <w:lvlText w:val=""/>
      <w:lvlJc w:val="left"/>
      <w:pPr>
        <w:tabs>
          <w:tab w:val="num" w:pos="4320"/>
        </w:tabs>
        <w:ind w:left="4320" w:hanging="360"/>
      </w:pPr>
      <w:rPr>
        <w:rFonts w:ascii="Wingdings" w:hAnsi="Wingdings" w:hint="default"/>
      </w:rPr>
    </w:lvl>
    <w:lvl w:ilvl="6" w:tplc="2C647690" w:tentative="1">
      <w:start w:val="1"/>
      <w:numFmt w:val="bullet"/>
      <w:lvlText w:val=""/>
      <w:lvlJc w:val="left"/>
      <w:pPr>
        <w:tabs>
          <w:tab w:val="num" w:pos="5040"/>
        </w:tabs>
        <w:ind w:left="5040" w:hanging="360"/>
      </w:pPr>
      <w:rPr>
        <w:rFonts w:ascii="Wingdings" w:hAnsi="Wingdings" w:hint="default"/>
      </w:rPr>
    </w:lvl>
    <w:lvl w:ilvl="7" w:tplc="0F745C30" w:tentative="1">
      <w:start w:val="1"/>
      <w:numFmt w:val="bullet"/>
      <w:lvlText w:val=""/>
      <w:lvlJc w:val="left"/>
      <w:pPr>
        <w:tabs>
          <w:tab w:val="num" w:pos="5760"/>
        </w:tabs>
        <w:ind w:left="5760" w:hanging="360"/>
      </w:pPr>
      <w:rPr>
        <w:rFonts w:ascii="Wingdings" w:hAnsi="Wingdings" w:hint="default"/>
      </w:rPr>
    </w:lvl>
    <w:lvl w:ilvl="8" w:tplc="049E5EE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C55BD8"/>
    <w:multiLevelType w:val="hybridMultilevel"/>
    <w:tmpl w:val="72EEA014"/>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882765">
    <w:abstractNumId w:val="14"/>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7"/>
  </w:num>
  <w:num w:numId="13" w16cid:durableId="695733619">
    <w:abstractNumId w:val="18"/>
  </w:num>
  <w:num w:numId="14" w16cid:durableId="145903400">
    <w:abstractNumId w:val="28"/>
  </w:num>
  <w:num w:numId="15" w16cid:durableId="19162326">
    <w:abstractNumId w:val="32"/>
  </w:num>
  <w:num w:numId="16" w16cid:durableId="1977102699">
    <w:abstractNumId w:val="31"/>
  </w:num>
  <w:num w:numId="17" w16cid:durableId="860774865">
    <w:abstractNumId w:val="17"/>
  </w:num>
  <w:num w:numId="18" w16cid:durableId="313221457">
    <w:abstractNumId w:val="18"/>
    <w:lvlOverride w:ilvl="0">
      <w:startOverride w:val="1"/>
    </w:lvlOverride>
  </w:num>
  <w:num w:numId="19" w16cid:durableId="534971577">
    <w:abstractNumId w:val="26"/>
  </w:num>
  <w:num w:numId="20" w16cid:durableId="1150947773">
    <w:abstractNumId w:val="25"/>
  </w:num>
  <w:num w:numId="21" w16cid:durableId="124660497">
    <w:abstractNumId w:val="21"/>
  </w:num>
  <w:num w:numId="22" w16cid:durableId="2099861471">
    <w:abstractNumId w:val="20"/>
  </w:num>
  <w:num w:numId="23" w16cid:durableId="84351335">
    <w:abstractNumId w:val="11"/>
  </w:num>
  <w:num w:numId="24" w16cid:durableId="700201739">
    <w:abstractNumId w:val="29"/>
  </w:num>
  <w:num w:numId="25" w16cid:durableId="1132672835">
    <w:abstractNumId w:val="16"/>
  </w:num>
  <w:num w:numId="26" w16cid:durableId="455175497">
    <w:abstractNumId w:val="23"/>
  </w:num>
  <w:num w:numId="27" w16cid:durableId="104007649">
    <w:abstractNumId w:val="33"/>
  </w:num>
  <w:num w:numId="28" w16cid:durableId="76365135">
    <w:abstractNumId w:val="14"/>
  </w:num>
  <w:num w:numId="29" w16cid:durableId="1257522899">
    <w:abstractNumId w:val="24"/>
  </w:num>
  <w:num w:numId="30" w16cid:durableId="1449740478">
    <w:abstractNumId w:val="30"/>
  </w:num>
  <w:num w:numId="31" w16cid:durableId="2027487574">
    <w:abstractNumId w:val="13"/>
  </w:num>
  <w:num w:numId="32" w16cid:durableId="1300459137">
    <w:abstractNumId w:val="15"/>
  </w:num>
  <w:num w:numId="33" w16cid:durableId="2068533692">
    <w:abstractNumId w:val="12"/>
  </w:num>
  <w:num w:numId="34" w16cid:durableId="872113162">
    <w:abstractNumId w:val="22"/>
  </w:num>
  <w:num w:numId="35" w16cid:durableId="940063026">
    <w:abstractNumId w:val="19"/>
  </w:num>
  <w:num w:numId="36" w16cid:durableId="1686009390">
    <w:abstractNumId w:val="10"/>
  </w:num>
  <w:num w:numId="37" w16cid:durableId="541358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1F"/>
    <w:rsid w:val="00000EF5"/>
    <w:rsid w:val="000027C0"/>
    <w:rsid w:val="000052FB"/>
    <w:rsid w:val="000055CE"/>
    <w:rsid w:val="00005A19"/>
    <w:rsid w:val="000117CB"/>
    <w:rsid w:val="00013390"/>
    <w:rsid w:val="0003148D"/>
    <w:rsid w:val="00031CCA"/>
    <w:rsid w:val="00031EEC"/>
    <w:rsid w:val="00034D93"/>
    <w:rsid w:val="000406EE"/>
    <w:rsid w:val="00040878"/>
    <w:rsid w:val="00051566"/>
    <w:rsid w:val="000562A9"/>
    <w:rsid w:val="00062A9A"/>
    <w:rsid w:val="0006437C"/>
    <w:rsid w:val="00065058"/>
    <w:rsid w:val="0007379A"/>
    <w:rsid w:val="00074CFC"/>
    <w:rsid w:val="00086C39"/>
    <w:rsid w:val="00094CCD"/>
    <w:rsid w:val="000959A6"/>
    <w:rsid w:val="000978F6"/>
    <w:rsid w:val="000A03B2"/>
    <w:rsid w:val="000B10A7"/>
    <w:rsid w:val="000B5609"/>
    <w:rsid w:val="000D0268"/>
    <w:rsid w:val="000D34BE"/>
    <w:rsid w:val="000E0B3C"/>
    <w:rsid w:val="000E102F"/>
    <w:rsid w:val="000E1852"/>
    <w:rsid w:val="000E36F1"/>
    <w:rsid w:val="000E3A73"/>
    <w:rsid w:val="000E414A"/>
    <w:rsid w:val="000E4CA6"/>
    <w:rsid w:val="000E75FD"/>
    <w:rsid w:val="000F093C"/>
    <w:rsid w:val="000F1D8F"/>
    <w:rsid w:val="000F787B"/>
    <w:rsid w:val="0010641D"/>
    <w:rsid w:val="0012091F"/>
    <w:rsid w:val="0012134E"/>
    <w:rsid w:val="0012323D"/>
    <w:rsid w:val="00126BC2"/>
    <w:rsid w:val="00127BD4"/>
    <w:rsid w:val="001308B6"/>
    <w:rsid w:val="0013121F"/>
    <w:rsid w:val="00131E8A"/>
    <w:rsid w:val="00131FE6"/>
    <w:rsid w:val="0013263F"/>
    <w:rsid w:val="001331DF"/>
    <w:rsid w:val="00134DE4"/>
    <w:rsid w:val="0014034D"/>
    <w:rsid w:val="00140FE3"/>
    <w:rsid w:val="00144D16"/>
    <w:rsid w:val="00150E59"/>
    <w:rsid w:val="00152DE3"/>
    <w:rsid w:val="00161329"/>
    <w:rsid w:val="00164CF9"/>
    <w:rsid w:val="001667A6"/>
    <w:rsid w:val="0018171E"/>
    <w:rsid w:val="00184AD6"/>
    <w:rsid w:val="00186105"/>
    <w:rsid w:val="0018751D"/>
    <w:rsid w:val="001A320F"/>
    <w:rsid w:val="001A3DFD"/>
    <w:rsid w:val="001A4AF7"/>
    <w:rsid w:val="001B0349"/>
    <w:rsid w:val="001B1E93"/>
    <w:rsid w:val="001B65C1"/>
    <w:rsid w:val="001C260F"/>
    <w:rsid w:val="001C2DE1"/>
    <w:rsid w:val="001C5C3A"/>
    <w:rsid w:val="001C684B"/>
    <w:rsid w:val="001D0CFB"/>
    <w:rsid w:val="001D21AF"/>
    <w:rsid w:val="001D2935"/>
    <w:rsid w:val="001D2FD0"/>
    <w:rsid w:val="001D53FC"/>
    <w:rsid w:val="001D7581"/>
    <w:rsid w:val="001F1BB7"/>
    <w:rsid w:val="001F42A5"/>
    <w:rsid w:val="001F46B4"/>
    <w:rsid w:val="001F7B9D"/>
    <w:rsid w:val="00201C93"/>
    <w:rsid w:val="0020617C"/>
    <w:rsid w:val="002224B4"/>
    <w:rsid w:val="002445C2"/>
    <w:rsid w:val="002447EF"/>
    <w:rsid w:val="00251550"/>
    <w:rsid w:val="002602D7"/>
    <w:rsid w:val="00263B05"/>
    <w:rsid w:val="0027221A"/>
    <w:rsid w:val="00272429"/>
    <w:rsid w:val="002737DE"/>
    <w:rsid w:val="00275B61"/>
    <w:rsid w:val="00277781"/>
    <w:rsid w:val="00280FAF"/>
    <w:rsid w:val="002811C2"/>
    <w:rsid w:val="00282656"/>
    <w:rsid w:val="00291D40"/>
    <w:rsid w:val="00296B83"/>
    <w:rsid w:val="002B4015"/>
    <w:rsid w:val="002B6A93"/>
    <w:rsid w:val="002B78CE"/>
    <w:rsid w:val="002C12FC"/>
    <w:rsid w:val="002C2FB6"/>
    <w:rsid w:val="002D688F"/>
    <w:rsid w:val="002D73A9"/>
    <w:rsid w:val="002E4B91"/>
    <w:rsid w:val="002E5FA7"/>
    <w:rsid w:val="002E7071"/>
    <w:rsid w:val="002F3309"/>
    <w:rsid w:val="002F5146"/>
    <w:rsid w:val="002F675E"/>
    <w:rsid w:val="002F760F"/>
    <w:rsid w:val="003008CE"/>
    <w:rsid w:val="003009B7"/>
    <w:rsid w:val="00300E56"/>
    <w:rsid w:val="0030152C"/>
    <w:rsid w:val="0030469C"/>
    <w:rsid w:val="00321CA6"/>
    <w:rsid w:val="00323763"/>
    <w:rsid w:val="003237D2"/>
    <w:rsid w:val="00323C5F"/>
    <w:rsid w:val="0033387C"/>
    <w:rsid w:val="00334C09"/>
    <w:rsid w:val="00334E20"/>
    <w:rsid w:val="003723D4"/>
    <w:rsid w:val="00373EC6"/>
    <w:rsid w:val="00381905"/>
    <w:rsid w:val="00384CC8"/>
    <w:rsid w:val="003871FD"/>
    <w:rsid w:val="003929D2"/>
    <w:rsid w:val="00395819"/>
    <w:rsid w:val="003A1E30"/>
    <w:rsid w:val="003A2829"/>
    <w:rsid w:val="003A3257"/>
    <w:rsid w:val="003A3B5D"/>
    <w:rsid w:val="003A62B2"/>
    <w:rsid w:val="003A7D1C"/>
    <w:rsid w:val="003B304B"/>
    <w:rsid w:val="003B3146"/>
    <w:rsid w:val="003B49CD"/>
    <w:rsid w:val="003D1E02"/>
    <w:rsid w:val="003F015E"/>
    <w:rsid w:val="003F7D53"/>
    <w:rsid w:val="0040033E"/>
    <w:rsid w:val="00400414"/>
    <w:rsid w:val="0041446B"/>
    <w:rsid w:val="0044071E"/>
    <w:rsid w:val="0044329C"/>
    <w:rsid w:val="00453E24"/>
    <w:rsid w:val="00457456"/>
    <w:rsid w:val="004577FE"/>
    <w:rsid w:val="00457B9C"/>
    <w:rsid w:val="0046164A"/>
    <w:rsid w:val="004628D2"/>
    <w:rsid w:val="00462DCD"/>
    <w:rsid w:val="004648AD"/>
    <w:rsid w:val="004703A9"/>
    <w:rsid w:val="0047232E"/>
    <w:rsid w:val="00472613"/>
    <w:rsid w:val="00473CEE"/>
    <w:rsid w:val="004760DE"/>
    <w:rsid w:val="004763D7"/>
    <w:rsid w:val="00477208"/>
    <w:rsid w:val="004874A8"/>
    <w:rsid w:val="00487A7F"/>
    <w:rsid w:val="004A004E"/>
    <w:rsid w:val="004A01D4"/>
    <w:rsid w:val="004A24CF"/>
    <w:rsid w:val="004A4347"/>
    <w:rsid w:val="004A4718"/>
    <w:rsid w:val="004A4AB2"/>
    <w:rsid w:val="004A62E9"/>
    <w:rsid w:val="004C3D1D"/>
    <w:rsid w:val="004C3D84"/>
    <w:rsid w:val="004C7913"/>
    <w:rsid w:val="004D36DE"/>
    <w:rsid w:val="004E388C"/>
    <w:rsid w:val="004E4DD6"/>
    <w:rsid w:val="004F2928"/>
    <w:rsid w:val="004F5E36"/>
    <w:rsid w:val="0050290B"/>
    <w:rsid w:val="00507B47"/>
    <w:rsid w:val="00507BEF"/>
    <w:rsid w:val="00507CC9"/>
    <w:rsid w:val="005119A5"/>
    <w:rsid w:val="005278B7"/>
    <w:rsid w:val="005303D7"/>
    <w:rsid w:val="00532016"/>
    <w:rsid w:val="005346C8"/>
    <w:rsid w:val="005407B6"/>
    <w:rsid w:val="005424FC"/>
    <w:rsid w:val="00543E7D"/>
    <w:rsid w:val="00547A68"/>
    <w:rsid w:val="005531C9"/>
    <w:rsid w:val="00554879"/>
    <w:rsid w:val="00555C53"/>
    <w:rsid w:val="0056025B"/>
    <w:rsid w:val="00570C43"/>
    <w:rsid w:val="00571F6A"/>
    <w:rsid w:val="005913A7"/>
    <w:rsid w:val="00592274"/>
    <w:rsid w:val="005B2110"/>
    <w:rsid w:val="005B350B"/>
    <w:rsid w:val="005B61E6"/>
    <w:rsid w:val="005C0CE9"/>
    <w:rsid w:val="005C77E1"/>
    <w:rsid w:val="005D2E01"/>
    <w:rsid w:val="005D668A"/>
    <w:rsid w:val="005D6A2F"/>
    <w:rsid w:val="005E0592"/>
    <w:rsid w:val="005E1A82"/>
    <w:rsid w:val="005E794C"/>
    <w:rsid w:val="005F0A28"/>
    <w:rsid w:val="005F0E5E"/>
    <w:rsid w:val="005F0F1B"/>
    <w:rsid w:val="00600535"/>
    <w:rsid w:val="006011C6"/>
    <w:rsid w:val="00605CC9"/>
    <w:rsid w:val="00610CD6"/>
    <w:rsid w:val="00615433"/>
    <w:rsid w:val="00616081"/>
    <w:rsid w:val="00620DEE"/>
    <w:rsid w:val="00621F92"/>
    <w:rsid w:val="0062280A"/>
    <w:rsid w:val="006231E1"/>
    <w:rsid w:val="00625639"/>
    <w:rsid w:val="00631B33"/>
    <w:rsid w:val="00635E2D"/>
    <w:rsid w:val="0064184D"/>
    <w:rsid w:val="006422CC"/>
    <w:rsid w:val="0064694A"/>
    <w:rsid w:val="00651D18"/>
    <w:rsid w:val="006573F9"/>
    <w:rsid w:val="00660E3E"/>
    <w:rsid w:val="00661D4A"/>
    <w:rsid w:val="00662E74"/>
    <w:rsid w:val="00666DB6"/>
    <w:rsid w:val="00676AA2"/>
    <w:rsid w:val="00680C23"/>
    <w:rsid w:val="00683E23"/>
    <w:rsid w:val="00685C0E"/>
    <w:rsid w:val="00685DCE"/>
    <w:rsid w:val="00693766"/>
    <w:rsid w:val="006A3281"/>
    <w:rsid w:val="006A5CFF"/>
    <w:rsid w:val="006A6DE5"/>
    <w:rsid w:val="006B4888"/>
    <w:rsid w:val="006B6852"/>
    <w:rsid w:val="006C2386"/>
    <w:rsid w:val="006C2E45"/>
    <w:rsid w:val="006C359C"/>
    <w:rsid w:val="006C5579"/>
    <w:rsid w:val="006D309D"/>
    <w:rsid w:val="006D6E8B"/>
    <w:rsid w:val="006D7209"/>
    <w:rsid w:val="006E40C5"/>
    <w:rsid w:val="006E58B2"/>
    <w:rsid w:val="006E737D"/>
    <w:rsid w:val="006E7B12"/>
    <w:rsid w:val="00707DD1"/>
    <w:rsid w:val="00713973"/>
    <w:rsid w:val="00720A24"/>
    <w:rsid w:val="00723FC4"/>
    <w:rsid w:val="00731207"/>
    <w:rsid w:val="00732386"/>
    <w:rsid w:val="0073514D"/>
    <w:rsid w:val="00742CF1"/>
    <w:rsid w:val="0074377B"/>
    <w:rsid w:val="00743B77"/>
    <w:rsid w:val="00743C2F"/>
    <w:rsid w:val="007447F3"/>
    <w:rsid w:val="0075499F"/>
    <w:rsid w:val="007613BD"/>
    <w:rsid w:val="00765466"/>
    <w:rsid w:val="007661C8"/>
    <w:rsid w:val="00766F71"/>
    <w:rsid w:val="0077098D"/>
    <w:rsid w:val="007827CB"/>
    <w:rsid w:val="00785BF9"/>
    <w:rsid w:val="007931FA"/>
    <w:rsid w:val="007A4861"/>
    <w:rsid w:val="007A58D5"/>
    <w:rsid w:val="007A7BBA"/>
    <w:rsid w:val="007B0C50"/>
    <w:rsid w:val="007B48F9"/>
    <w:rsid w:val="007B5F7B"/>
    <w:rsid w:val="007C1A43"/>
    <w:rsid w:val="007D0951"/>
    <w:rsid w:val="007D610D"/>
    <w:rsid w:val="007E3E26"/>
    <w:rsid w:val="007E676D"/>
    <w:rsid w:val="0080013E"/>
    <w:rsid w:val="00801759"/>
    <w:rsid w:val="0080538E"/>
    <w:rsid w:val="00806371"/>
    <w:rsid w:val="00812DF1"/>
    <w:rsid w:val="00813288"/>
    <w:rsid w:val="008153B9"/>
    <w:rsid w:val="008168FC"/>
    <w:rsid w:val="00830996"/>
    <w:rsid w:val="00832F0A"/>
    <w:rsid w:val="008345F1"/>
    <w:rsid w:val="00865B07"/>
    <w:rsid w:val="008667EA"/>
    <w:rsid w:val="00870DAC"/>
    <w:rsid w:val="0087637F"/>
    <w:rsid w:val="00881DBB"/>
    <w:rsid w:val="00892AD5"/>
    <w:rsid w:val="00895FB3"/>
    <w:rsid w:val="008A1512"/>
    <w:rsid w:val="008A5631"/>
    <w:rsid w:val="008B6CC6"/>
    <w:rsid w:val="008D1911"/>
    <w:rsid w:val="008D3118"/>
    <w:rsid w:val="008D32B9"/>
    <w:rsid w:val="008D433B"/>
    <w:rsid w:val="008D4A16"/>
    <w:rsid w:val="008E5401"/>
    <w:rsid w:val="008E566E"/>
    <w:rsid w:val="008F28DC"/>
    <w:rsid w:val="0090161A"/>
    <w:rsid w:val="00901EB6"/>
    <w:rsid w:val="0090273E"/>
    <w:rsid w:val="009035B9"/>
    <w:rsid w:val="009041F8"/>
    <w:rsid w:val="00904C62"/>
    <w:rsid w:val="00922BA8"/>
    <w:rsid w:val="00924DAC"/>
    <w:rsid w:val="00927058"/>
    <w:rsid w:val="009318B7"/>
    <w:rsid w:val="00932B3E"/>
    <w:rsid w:val="00933120"/>
    <w:rsid w:val="00937DB6"/>
    <w:rsid w:val="009408CC"/>
    <w:rsid w:val="00942750"/>
    <w:rsid w:val="0094393D"/>
    <w:rsid w:val="009450CE"/>
    <w:rsid w:val="009459BB"/>
    <w:rsid w:val="00947179"/>
    <w:rsid w:val="00950F09"/>
    <w:rsid w:val="0095164B"/>
    <w:rsid w:val="00954090"/>
    <w:rsid w:val="009573E7"/>
    <w:rsid w:val="00963E05"/>
    <w:rsid w:val="00964A45"/>
    <w:rsid w:val="00967843"/>
    <w:rsid w:val="00967D54"/>
    <w:rsid w:val="00971028"/>
    <w:rsid w:val="00993B84"/>
    <w:rsid w:val="009948D5"/>
    <w:rsid w:val="00994C6A"/>
    <w:rsid w:val="00996483"/>
    <w:rsid w:val="00996F5A"/>
    <w:rsid w:val="009A2451"/>
    <w:rsid w:val="009B041A"/>
    <w:rsid w:val="009B4124"/>
    <w:rsid w:val="009B4B24"/>
    <w:rsid w:val="009B74D6"/>
    <w:rsid w:val="009C37C3"/>
    <w:rsid w:val="009C7C86"/>
    <w:rsid w:val="009D0B20"/>
    <w:rsid w:val="009D0F21"/>
    <w:rsid w:val="009D2FF7"/>
    <w:rsid w:val="009E0E02"/>
    <w:rsid w:val="009E7884"/>
    <w:rsid w:val="009E788A"/>
    <w:rsid w:val="009F0E08"/>
    <w:rsid w:val="009F1A5B"/>
    <w:rsid w:val="009F5D53"/>
    <w:rsid w:val="009F7252"/>
    <w:rsid w:val="00A02FB8"/>
    <w:rsid w:val="00A07071"/>
    <w:rsid w:val="00A079AE"/>
    <w:rsid w:val="00A1763D"/>
    <w:rsid w:val="00A17CEC"/>
    <w:rsid w:val="00A26CE8"/>
    <w:rsid w:val="00A27EF0"/>
    <w:rsid w:val="00A42361"/>
    <w:rsid w:val="00A4734B"/>
    <w:rsid w:val="00A50B20"/>
    <w:rsid w:val="00A51390"/>
    <w:rsid w:val="00A56212"/>
    <w:rsid w:val="00A60D13"/>
    <w:rsid w:val="00A60E07"/>
    <w:rsid w:val="00A63E0A"/>
    <w:rsid w:val="00A7223D"/>
    <w:rsid w:val="00A72745"/>
    <w:rsid w:val="00A76EFC"/>
    <w:rsid w:val="00A84116"/>
    <w:rsid w:val="00A87A39"/>
    <w:rsid w:val="00A87D50"/>
    <w:rsid w:val="00A91010"/>
    <w:rsid w:val="00A97F29"/>
    <w:rsid w:val="00AA702E"/>
    <w:rsid w:val="00AA7D26"/>
    <w:rsid w:val="00AB0964"/>
    <w:rsid w:val="00AB3F7E"/>
    <w:rsid w:val="00AB455E"/>
    <w:rsid w:val="00AB5011"/>
    <w:rsid w:val="00AC20A2"/>
    <w:rsid w:val="00AC6DD4"/>
    <w:rsid w:val="00AC7368"/>
    <w:rsid w:val="00AC74A1"/>
    <w:rsid w:val="00AC78A2"/>
    <w:rsid w:val="00AC7BDC"/>
    <w:rsid w:val="00AD16B9"/>
    <w:rsid w:val="00AE377D"/>
    <w:rsid w:val="00AE7B5D"/>
    <w:rsid w:val="00AF0EBA"/>
    <w:rsid w:val="00AF2463"/>
    <w:rsid w:val="00AF3199"/>
    <w:rsid w:val="00AF4963"/>
    <w:rsid w:val="00B02C8A"/>
    <w:rsid w:val="00B14F6D"/>
    <w:rsid w:val="00B17FBD"/>
    <w:rsid w:val="00B2239B"/>
    <w:rsid w:val="00B30AE0"/>
    <w:rsid w:val="00B315A6"/>
    <w:rsid w:val="00B31813"/>
    <w:rsid w:val="00B33365"/>
    <w:rsid w:val="00B3723D"/>
    <w:rsid w:val="00B41868"/>
    <w:rsid w:val="00B425CC"/>
    <w:rsid w:val="00B450A0"/>
    <w:rsid w:val="00B500B2"/>
    <w:rsid w:val="00B57B36"/>
    <w:rsid w:val="00B57E6F"/>
    <w:rsid w:val="00B6486A"/>
    <w:rsid w:val="00B75360"/>
    <w:rsid w:val="00B76955"/>
    <w:rsid w:val="00B76EFA"/>
    <w:rsid w:val="00B8686D"/>
    <w:rsid w:val="00B93E8E"/>
    <w:rsid w:val="00B93F69"/>
    <w:rsid w:val="00BB1DDC"/>
    <w:rsid w:val="00BC30C9"/>
    <w:rsid w:val="00BD077D"/>
    <w:rsid w:val="00BD4A5F"/>
    <w:rsid w:val="00BE3E58"/>
    <w:rsid w:val="00BF13CE"/>
    <w:rsid w:val="00C013C5"/>
    <w:rsid w:val="00C01616"/>
    <w:rsid w:val="00C0162B"/>
    <w:rsid w:val="00C02EB6"/>
    <w:rsid w:val="00C068ED"/>
    <w:rsid w:val="00C070AD"/>
    <w:rsid w:val="00C22E0C"/>
    <w:rsid w:val="00C345B1"/>
    <w:rsid w:val="00C36F0D"/>
    <w:rsid w:val="00C40142"/>
    <w:rsid w:val="00C412E7"/>
    <w:rsid w:val="00C4140C"/>
    <w:rsid w:val="00C45374"/>
    <w:rsid w:val="00C52C3C"/>
    <w:rsid w:val="00C57182"/>
    <w:rsid w:val="00C57863"/>
    <w:rsid w:val="00C640AF"/>
    <w:rsid w:val="00C655FD"/>
    <w:rsid w:val="00C66B0E"/>
    <w:rsid w:val="00C71BE5"/>
    <w:rsid w:val="00C75407"/>
    <w:rsid w:val="00C8088E"/>
    <w:rsid w:val="00C82D8D"/>
    <w:rsid w:val="00C830E1"/>
    <w:rsid w:val="00C841C6"/>
    <w:rsid w:val="00C870A8"/>
    <w:rsid w:val="00C874FD"/>
    <w:rsid w:val="00C94434"/>
    <w:rsid w:val="00CA0D75"/>
    <w:rsid w:val="00CA1C70"/>
    <w:rsid w:val="00CA1C95"/>
    <w:rsid w:val="00CA5A9C"/>
    <w:rsid w:val="00CB20A5"/>
    <w:rsid w:val="00CB2C13"/>
    <w:rsid w:val="00CB5848"/>
    <w:rsid w:val="00CC4C20"/>
    <w:rsid w:val="00CD2C4C"/>
    <w:rsid w:val="00CD3517"/>
    <w:rsid w:val="00CD5B3A"/>
    <w:rsid w:val="00CD5FE2"/>
    <w:rsid w:val="00CE7C68"/>
    <w:rsid w:val="00D02B4C"/>
    <w:rsid w:val="00D040C4"/>
    <w:rsid w:val="00D06D70"/>
    <w:rsid w:val="00D138B0"/>
    <w:rsid w:val="00D20AD1"/>
    <w:rsid w:val="00D2582C"/>
    <w:rsid w:val="00D274DA"/>
    <w:rsid w:val="00D34A12"/>
    <w:rsid w:val="00D46B7E"/>
    <w:rsid w:val="00D500F3"/>
    <w:rsid w:val="00D57C84"/>
    <w:rsid w:val="00D6057D"/>
    <w:rsid w:val="00D707C8"/>
    <w:rsid w:val="00D71640"/>
    <w:rsid w:val="00D74572"/>
    <w:rsid w:val="00D836C5"/>
    <w:rsid w:val="00D84576"/>
    <w:rsid w:val="00D859A1"/>
    <w:rsid w:val="00D95B0D"/>
    <w:rsid w:val="00DA1399"/>
    <w:rsid w:val="00DA24C6"/>
    <w:rsid w:val="00DA4D7B"/>
    <w:rsid w:val="00DB7099"/>
    <w:rsid w:val="00DC2840"/>
    <w:rsid w:val="00DC73EE"/>
    <w:rsid w:val="00DD1E23"/>
    <w:rsid w:val="00DD271C"/>
    <w:rsid w:val="00DE264A"/>
    <w:rsid w:val="00DE341E"/>
    <w:rsid w:val="00DE4EB6"/>
    <w:rsid w:val="00DE674E"/>
    <w:rsid w:val="00DF48DB"/>
    <w:rsid w:val="00DF5072"/>
    <w:rsid w:val="00E00802"/>
    <w:rsid w:val="00E02D18"/>
    <w:rsid w:val="00E03776"/>
    <w:rsid w:val="00E041E7"/>
    <w:rsid w:val="00E06737"/>
    <w:rsid w:val="00E11C60"/>
    <w:rsid w:val="00E2232B"/>
    <w:rsid w:val="00E23A32"/>
    <w:rsid w:val="00E23CA1"/>
    <w:rsid w:val="00E409A8"/>
    <w:rsid w:val="00E50C12"/>
    <w:rsid w:val="00E65B91"/>
    <w:rsid w:val="00E679B4"/>
    <w:rsid w:val="00E7209D"/>
    <w:rsid w:val="00E72EAD"/>
    <w:rsid w:val="00E75C16"/>
    <w:rsid w:val="00E77223"/>
    <w:rsid w:val="00E82BB2"/>
    <w:rsid w:val="00E8528B"/>
    <w:rsid w:val="00E85B94"/>
    <w:rsid w:val="00E978D0"/>
    <w:rsid w:val="00EA4613"/>
    <w:rsid w:val="00EA7F91"/>
    <w:rsid w:val="00EB1523"/>
    <w:rsid w:val="00EC0E49"/>
    <w:rsid w:val="00EC0ECD"/>
    <w:rsid w:val="00EC101F"/>
    <w:rsid w:val="00EC1D9F"/>
    <w:rsid w:val="00EC5DC6"/>
    <w:rsid w:val="00EE0131"/>
    <w:rsid w:val="00EE141C"/>
    <w:rsid w:val="00EE17B0"/>
    <w:rsid w:val="00EF06D9"/>
    <w:rsid w:val="00EF7D90"/>
    <w:rsid w:val="00F27EE4"/>
    <w:rsid w:val="00F3049E"/>
    <w:rsid w:val="00F30C64"/>
    <w:rsid w:val="00F30DC8"/>
    <w:rsid w:val="00F32BA2"/>
    <w:rsid w:val="00F32CDB"/>
    <w:rsid w:val="00F41EE4"/>
    <w:rsid w:val="00F47007"/>
    <w:rsid w:val="00F47915"/>
    <w:rsid w:val="00F52AF2"/>
    <w:rsid w:val="00F5585F"/>
    <w:rsid w:val="00F565FE"/>
    <w:rsid w:val="00F60A7D"/>
    <w:rsid w:val="00F63A70"/>
    <w:rsid w:val="00F63D8C"/>
    <w:rsid w:val="00F7534E"/>
    <w:rsid w:val="00F820FF"/>
    <w:rsid w:val="00F93EDF"/>
    <w:rsid w:val="00FA1802"/>
    <w:rsid w:val="00FA21D0"/>
    <w:rsid w:val="00FA5F5F"/>
    <w:rsid w:val="00FB730C"/>
    <w:rsid w:val="00FC2695"/>
    <w:rsid w:val="00FC3E03"/>
    <w:rsid w:val="00FC3FC1"/>
    <w:rsid w:val="00FD4083"/>
    <w:rsid w:val="00FE7AAA"/>
    <w:rsid w:val="00FF787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2F675E"/>
    <w:rPr>
      <w:color w:val="605E5C"/>
      <w:shd w:val="clear" w:color="auto" w:fill="E1DFDD"/>
    </w:rPr>
  </w:style>
  <w:style w:type="character" w:styleId="PlaceholderText">
    <w:name w:val="Placeholder Text"/>
    <w:basedOn w:val="DefaultParagraphFont"/>
    <w:uiPriority w:val="99"/>
    <w:semiHidden/>
    <w:rsid w:val="009E0E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4650">
      <w:bodyDiv w:val="1"/>
      <w:marLeft w:val="0"/>
      <w:marRight w:val="0"/>
      <w:marTop w:val="0"/>
      <w:marBottom w:val="0"/>
      <w:divBdr>
        <w:top w:val="none" w:sz="0" w:space="0" w:color="auto"/>
        <w:left w:val="none" w:sz="0" w:space="0" w:color="auto"/>
        <w:bottom w:val="none" w:sz="0" w:space="0" w:color="auto"/>
        <w:right w:val="none" w:sz="0" w:space="0" w:color="auto"/>
      </w:divBdr>
    </w:div>
    <w:div w:id="98262946">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4086256">
      <w:bodyDiv w:val="1"/>
      <w:marLeft w:val="0"/>
      <w:marRight w:val="0"/>
      <w:marTop w:val="0"/>
      <w:marBottom w:val="0"/>
      <w:divBdr>
        <w:top w:val="none" w:sz="0" w:space="0" w:color="auto"/>
        <w:left w:val="none" w:sz="0" w:space="0" w:color="auto"/>
        <w:bottom w:val="none" w:sz="0" w:space="0" w:color="auto"/>
        <w:right w:val="none" w:sz="0" w:space="0" w:color="auto"/>
      </w:divBdr>
    </w:div>
    <w:div w:id="516502279">
      <w:bodyDiv w:val="1"/>
      <w:marLeft w:val="0"/>
      <w:marRight w:val="0"/>
      <w:marTop w:val="0"/>
      <w:marBottom w:val="0"/>
      <w:divBdr>
        <w:top w:val="none" w:sz="0" w:space="0" w:color="auto"/>
        <w:left w:val="none" w:sz="0" w:space="0" w:color="auto"/>
        <w:bottom w:val="none" w:sz="0" w:space="0" w:color="auto"/>
        <w:right w:val="none" w:sz="0" w:space="0" w:color="auto"/>
      </w:divBdr>
    </w:div>
    <w:div w:id="7294957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6335">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6924">
      <w:bodyDiv w:val="1"/>
      <w:marLeft w:val="0"/>
      <w:marRight w:val="0"/>
      <w:marTop w:val="0"/>
      <w:marBottom w:val="0"/>
      <w:divBdr>
        <w:top w:val="none" w:sz="0" w:space="0" w:color="auto"/>
        <w:left w:val="none" w:sz="0" w:space="0" w:color="auto"/>
        <w:bottom w:val="none" w:sz="0" w:space="0" w:color="auto"/>
        <w:right w:val="none" w:sz="0" w:space="0" w:color="auto"/>
      </w:divBdr>
    </w:div>
    <w:div w:id="1310131834">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69765869">
      <w:bodyDiv w:val="1"/>
      <w:marLeft w:val="0"/>
      <w:marRight w:val="0"/>
      <w:marTop w:val="0"/>
      <w:marBottom w:val="0"/>
      <w:divBdr>
        <w:top w:val="none" w:sz="0" w:space="0" w:color="auto"/>
        <w:left w:val="none" w:sz="0" w:space="0" w:color="auto"/>
        <w:bottom w:val="none" w:sz="0" w:space="0" w:color="auto"/>
        <w:right w:val="none" w:sz="0" w:space="0" w:color="auto"/>
      </w:divBdr>
      <w:divsChild>
        <w:div w:id="215944173">
          <w:marLeft w:val="288"/>
          <w:marRight w:val="0"/>
          <w:marTop w:val="200"/>
          <w:marBottom w:val="0"/>
          <w:divBdr>
            <w:top w:val="none" w:sz="0" w:space="0" w:color="auto"/>
            <w:left w:val="none" w:sz="0" w:space="0" w:color="auto"/>
            <w:bottom w:val="none" w:sz="0" w:space="0" w:color="auto"/>
            <w:right w:val="none" w:sz="0" w:space="0" w:color="auto"/>
          </w:divBdr>
        </w:div>
        <w:div w:id="556936133">
          <w:marLeft w:val="1080"/>
          <w:marRight w:val="0"/>
          <w:marTop w:val="0"/>
          <w:marBottom w:val="0"/>
          <w:divBdr>
            <w:top w:val="none" w:sz="0" w:space="0" w:color="auto"/>
            <w:left w:val="none" w:sz="0" w:space="0" w:color="auto"/>
            <w:bottom w:val="none" w:sz="0" w:space="0" w:color="auto"/>
            <w:right w:val="none" w:sz="0" w:space="0" w:color="auto"/>
          </w:divBdr>
        </w:div>
        <w:div w:id="1783912213">
          <w:marLeft w:val="1080"/>
          <w:marRight w:val="0"/>
          <w:marTop w:val="0"/>
          <w:marBottom w:val="0"/>
          <w:divBdr>
            <w:top w:val="none" w:sz="0" w:space="0" w:color="auto"/>
            <w:left w:val="none" w:sz="0" w:space="0" w:color="auto"/>
            <w:bottom w:val="none" w:sz="0" w:space="0" w:color="auto"/>
            <w:right w:val="none" w:sz="0" w:space="0" w:color="auto"/>
          </w:divBdr>
        </w:div>
        <w:div w:id="672729058">
          <w:marLeft w:val="1080"/>
          <w:marRight w:val="0"/>
          <w:marTop w:val="0"/>
          <w:marBottom w:val="0"/>
          <w:divBdr>
            <w:top w:val="none" w:sz="0" w:space="0" w:color="auto"/>
            <w:left w:val="none" w:sz="0" w:space="0" w:color="auto"/>
            <w:bottom w:val="none" w:sz="0" w:space="0" w:color="auto"/>
            <w:right w:val="none" w:sz="0" w:space="0" w:color="auto"/>
          </w:divBdr>
        </w:div>
        <w:div w:id="369500071">
          <w:marLeft w:val="1080"/>
          <w:marRight w:val="0"/>
          <w:marTop w:val="0"/>
          <w:marBottom w:val="0"/>
          <w:divBdr>
            <w:top w:val="none" w:sz="0" w:space="0" w:color="auto"/>
            <w:left w:val="none" w:sz="0" w:space="0" w:color="auto"/>
            <w:bottom w:val="none" w:sz="0" w:space="0" w:color="auto"/>
            <w:right w:val="none" w:sz="0" w:space="0" w:color="auto"/>
          </w:divBdr>
        </w:div>
      </w:divsChild>
    </w:div>
    <w:div w:id="203064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1291">
          <w:marLeft w:val="274"/>
          <w:marRight w:val="0"/>
          <w:marTop w:val="60"/>
          <w:marBottom w:val="0"/>
          <w:divBdr>
            <w:top w:val="none" w:sz="0" w:space="0" w:color="auto"/>
            <w:left w:val="none" w:sz="0" w:space="0" w:color="auto"/>
            <w:bottom w:val="none" w:sz="0" w:space="0" w:color="auto"/>
            <w:right w:val="none" w:sz="0" w:space="0" w:color="auto"/>
          </w:divBdr>
        </w:div>
        <w:div w:id="1073890856">
          <w:marLeft w:val="274"/>
          <w:marRight w:val="0"/>
          <w:marTop w:val="60"/>
          <w:marBottom w:val="0"/>
          <w:divBdr>
            <w:top w:val="none" w:sz="0" w:space="0" w:color="auto"/>
            <w:left w:val="none" w:sz="0" w:space="0" w:color="auto"/>
            <w:bottom w:val="none" w:sz="0" w:space="0" w:color="auto"/>
            <w:right w:val="none" w:sz="0" w:space="0" w:color="auto"/>
          </w:divBdr>
        </w:div>
        <w:div w:id="1953704498">
          <w:marLeft w:val="274"/>
          <w:marRight w:val="0"/>
          <w:marTop w:val="60"/>
          <w:marBottom w:val="0"/>
          <w:divBdr>
            <w:top w:val="none" w:sz="0" w:space="0" w:color="auto"/>
            <w:left w:val="none" w:sz="0" w:space="0" w:color="auto"/>
            <w:bottom w:val="none" w:sz="0" w:space="0" w:color="auto"/>
            <w:right w:val="none" w:sz="0" w:space="0" w:color="auto"/>
          </w:divBdr>
        </w:div>
        <w:div w:id="321007634">
          <w:marLeft w:val="274"/>
          <w:marRight w:val="0"/>
          <w:marTop w:val="60"/>
          <w:marBottom w:val="0"/>
          <w:divBdr>
            <w:top w:val="none" w:sz="0" w:space="0" w:color="auto"/>
            <w:left w:val="none" w:sz="0" w:space="0" w:color="auto"/>
            <w:bottom w:val="none" w:sz="0" w:space="0" w:color="auto"/>
            <w:right w:val="none" w:sz="0" w:space="0" w:color="auto"/>
          </w:divBdr>
        </w:div>
        <w:div w:id="1118455766">
          <w:marLeft w:val="274"/>
          <w:marRight w:val="0"/>
          <w:marTop w:val="6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ure.com/nclimate/volumes/14/issues/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6</Pages>
  <Words>2691</Words>
  <Characters>16127</Characters>
  <Application>Microsoft Office Word</Application>
  <DocSecurity>0</DocSecurity>
  <Lines>293</Lines>
  <Paragraphs>213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Pey Alexis</cp:lastModifiedBy>
  <cp:revision>245</cp:revision>
  <cp:lastPrinted>2015-05-12T18:31:00Z</cp:lastPrinted>
  <dcterms:created xsi:type="dcterms:W3CDTF">2024-02-20T10:29:00Z</dcterms:created>
  <dcterms:modified xsi:type="dcterms:W3CDTF">2025-04-04T13:43:00Z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